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EC0AB" w14:textId="192D407D" w:rsidR="00CA37B8" w:rsidRPr="00CA37B8" w:rsidRDefault="00CA37B8" w:rsidP="00CA37B8">
      <w:pPr>
        <w:spacing w:after="0" w:line="240" w:lineRule="auto"/>
        <w:jc w:val="center"/>
        <w:rPr>
          <w:rFonts w:ascii="Trebuchet MS" w:hAnsi="Trebuchet MS" w:cs="Tahoma"/>
          <w:b/>
          <w:color w:val="EF671A"/>
          <w:sz w:val="28"/>
          <w:szCs w:val="28"/>
        </w:rPr>
      </w:pPr>
      <w:r>
        <w:rPr>
          <w:rFonts w:ascii="Verdana" w:eastAsia="Times New Roman" w:hAnsi="Verdana" w:cs="Times New Roman"/>
          <w:noProof/>
          <w:sz w:val="20"/>
          <w:szCs w:val="20"/>
          <w:lang w:eastAsia="fr-FR"/>
        </w:rPr>
        <w:drawing>
          <wp:anchor distT="0" distB="0" distL="114300" distR="114300" simplePos="0" relativeHeight="251659264" behindDoc="0" locked="0" layoutInCell="1" allowOverlap="1" wp14:anchorId="780FC37D" wp14:editId="094C27D4">
            <wp:simplePos x="0" y="0"/>
            <wp:positionH relativeFrom="margin">
              <wp:align>left</wp:align>
            </wp:positionH>
            <wp:positionV relativeFrom="paragraph">
              <wp:posOffset>-632460</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Pr="00CA37B8">
        <w:rPr>
          <w:rFonts w:ascii="Trebuchet MS" w:hAnsi="Trebuchet MS" w:cs="Tahoma"/>
          <w:b/>
          <w:color w:val="EF671A"/>
          <w:sz w:val="28"/>
          <w:szCs w:val="28"/>
        </w:rPr>
        <w:t>BULLETIN DE VEILLE REGLEMENTAIRE</w:t>
      </w:r>
    </w:p>
    <w:p w14:paraId="3EA223A2" w14:textId="28DC8819" w:rsidR="00CA37B8" w:rsidRPr="00CA37B8" w:rsidRDefault="00CA37B8" w:rsidP="00CA37B8">
      <w:pPr>
        <w:spacing w:after="0" w:line="240" w:lineRule="auto"/>
        <w:jc w:val="center"/>
        <w:rPr>
          <w:rFonts w:ascii="Trebuchet MS" w:hAnsi="Trebuchet MS" w:cs="Tahoma"/>
          <w:b/>
          <w:color w:val="EF671A"/>
          <w:sz w:val="28"/>
          <w:szCs w:val="28"/>
        </w:rPr>
      </w:pPr>
      <w:r w:rsidRPr="00CA37B8">
        <w:rPr>
          <w:rFonts w:ascii="Trebuchet MS" w:hAnsi="Trebuchet MS" w:cs="Tahoma"/>
          <w:b/>
          <w:color w:val="EF671A"/>
          <w:sz w:val="28"/>
          <w:szCs w:val="28"/>
        </w:rPr>
        <w:t>n°</w:t>
      </w:r>
      <w:r>
        <w:rPr>
          <w:rFonts w:ascii="Trebuchet MS" w:hAnsi="Trebuchet MS" w:cs="Tahoma"/>
          <w:b/>
          <w:color w:val="EF671A"/>
          <w:sz w:val="28"/>
          <w:szCs w:val="28"/>
        </w:rPr>
        <w:t>6</w:t>
      </w:r>
      <w:r w:rsidRPr="00CA37B8">
        <w:rPr>
          <w:rFonts w:ascii="Trebuchet MS" w:hAnsi="Trebuchet MS" w:cs="Tahoma"/>
          <w:b/>
          <w:color w:val="EF671A"/>
          <w:sz w:val="28"/>
          <w:szCs w:val="28"/>
        </w:rPr>
        <w:t xml:space="preserve"> - </w:t>
      </w:r>
      <w:r>
        <w:rPr>
          <w:rFonts w:ascii="Trebuchet MS" w:hAnsi="Trebuchet MS" w:cs="Tahoma"/>
          <w:b/>
          <w:color w:val="EF671A"/>
          <w:sz w:val="28"/>
          <w:szCs w:val="28"/>
        </w:rPr>
        <w:t>juin</w:t>
      </w:r>
      <w:r w:rsidRPr="00CA37B8">
        <w:rPr>
          <w:rFonts w:ascii="Trebuchet MS" w:hAnsi="Trebuchet MS" w:cs="Tahoma"/>
          <w:b/>
          <w:color w:val="EF671A"/>
          <w:sz w:val="28"/>
          <w:szCs w:val="28"/>
        </w:rPr>
        <w:t xml:space="preserve"> 2025</w:t>
      </w:r>
    </w:p>
    <w:p w14:paraId="6D3DCA93" w14:textId="77777777" w:rsidR="00CA37B8" w:rsidRPr="00CA37B8" w:rsidRDefault="00CA37B8" w:rsidP="00CA37B8">
      <w:pPr>
        <w:spacing w:after="0" w:line="240" w:lineRule="auto"/>
        <w:jc w:val="center"/>
        <w:rPr>
          <w:rFonts w:ascii="Trebuchet MS" w:hAnsi="Trebuchet MS" w:cs="Tahoma"/>
          <w:b/>
          <w:color w:val="EF671A"/>
          <w:sz w:val="28"/>
          <w:szCs w:val="28"/>
        </w:rPr>
      </w:pPr>
    </w:p>
    <w:p w14:paraId="7691699A" w14:textId="77777777" w:rsidR="00CA37B8" w:rsidRPr="00CA37B8" w:rsidRDefault="00CA37B8" w:rsidP="00CA37B8">
      <w:pPr>
        <w:spacing w:after="0" w:line="240" w:lineRule="auto"/>
        <w:jc w:val="center"/>
        <w:rPr>
          <w:rFonts w:ascii="Trebuchet MS" w:hAnsi="Trebuchet MS" w:cs="Tahoma"/>
          <w:b/>
          <w:color w:val="EF671A"/>
          <w:sz w:val="28"/>
          <w:szCs w:val="28"/>
        </w:rPr>
      </w:pPr>
      <w:r w:rsidRPr="00CA37B8">
        <w:rPr>
          <w:rFonts w:ascii="Trebuchet MS" w:hAnsi="Trebuchet MS" w:cs="Tahoma"/>
          <w:b/>
          <w:color w:val="EF671A"/>
          <w:sz w:val="28"/>
          <w:szCs w:val="28"/>
        </w:rPr>
        <w:t>Sécurité des aliments et information du consommateur (France et Europe)</w:t>
      </w:r>
    </w:p>
    <w:p w14:paraId="438D310E" w14:textId="77777777" w:rsidR="00CA37B8" w:rsidRPr="00CA37B8" w:rsidRDefault="00CA37B8" w:rsidP="00CA37B8">
      <w:pPr>
        <w:spacing w:after="0" w:line="240" w:lineRule="auto"/>
        <w:jc w:val="center"/>
        <w:rPr>
          <w:rFonts w:ascii="Trebuchet MS" w:hAnsi="Trebuchet MS" w:cs="Tahoma"/>
          <w:b/>
          <w:color w:val="EF671A"/>
          <w:sz w:val="28"/>
          <w:szCs w:val="28"/>
        </w:rPr>
      </w:pPr>
    </w:p>
    <w:p w14:paraId="7FD87A3F" w14:textId="77777777" w:rsidR="00DF601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400F00AE" w14:textId="77777777" w:rsidR="00CA37B8" w:rsidRDefault="00CA37B8" w:rsidP="005F3EA3">
      <w:pPr>
        <w:spacing w:after="0" w:line="240" w:lineRule="auto"/>
        <w:jc w:val="center"/>
        <w:rPr>
          <w:rFonts w:ascii="Tenorite" w:hAnsi="Tenorite" w:cs="Tahoma"/>
          <w:b/>
          <w:color w:val="EF671A"/>
          <w:sz w:val="32"/>
          <w:szCs w:val="32"/>
          <w:u w:val="single"/>
        </w:rPr>
      </w:pPr>
    </w:p>
    <w:p w14:paraId="1DAC42F5" w14:textId="77777777" w:rsidR="00CA37B8" w:rsidRDefault="00CA37B8" w:rsidP="005F3EA3">
      <w:pPr>
        <w:spacing w:after="0" w:line="240" w:lineRule="auto"/>
        <w:jc w:val="center"/>
        <w:rPr>
          <w:rFonts w:ascii="Tenorite" w:hAnsi="Tenorite" w:cs="Tahoma"/>
          <w:b/>
          <w:color w:val="EF671A"/>
          <w:sz w:val="32"/>
          <w:szCs w:val="32"/>
          <w:u w:val="single"/>
        </w:rPr>
      </w:pPr>
    </w:p>
    <w:p w14:paraId="2ED6C005" w14:textId="77777777" w:rsidR="00DF6016" w:rsidRDefault="00DF6016" w:rsidP="00E248D4">
      <w:pPr>
        <w:pStyle w:val="Textebrut"/>
        <w:ind w:left="142"/>
        <w:jc w:val="both"/>
        <w:rPr>
          <w:rFonts w:ascii="Tenorite" w:hAnsi="Tenorite"/>
          <w:szCs w:val="22"/>
        </w:rPr>
      </w:pPr>
      <w:hyperlink r:id="rId8" w:history="1">
        <w:r w:rsidRPr="00E248D4">
          <w:rPr>
            <w:rStyle w:val="Lienhypertexte"/>
            <w:rFonts w:ascii="Tenorite" w:hAnsi="Tenorite"/>
            <w:szCs w:val="22"/>
          </w:rPr>
          <w:t>Arrêté</w:t>
        </w:r>
      </w:hyperlink>
      <w:r w:rsidRPr="00E248D4">
        <w:rPr>
          <w:rFonts w:ascii="Tenorite" w:hAnsi="Tenorite"/>
          <w:szCs w:val="22"/>
        </w:rPr>
        <w:t xml:space="preserve"> du 6 juin 2025 portant application de l'article D. 541-216 du code de l'environnement et approuvant la révision du référentiel du label national « anti-gaspillage alimentaire » pour le secteur de la distribution (JORF 12/06/2025)</w:t>
      </w:r>
    </w:p>
    <w:p w14:paraId="061DD394" w14:textId="77777777" w:rsidR="00E248D4" w:rsidRPr="00E248D4" w:rsidRDefault="00E248D4" w:rsidP="00E248D4">
      <w:pPr>
        <w:pStyle w:val="Textebrut"/>
        <w:ind w:left="142"/>
        <w:jc w:val="both"/>
        <w:rPr>
          <w:rFonts w:ascii="Tenorite" w:hAnsi="Tenorite"/>
          <w:szCs w:val="22"/>
        </w:rPr>
      </w:pPr>
    </w:p>
    <w:p w14:paraId="66A31D35" w14:textId="77777777" w:rsidR="00E248D4" w:rsidRP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r w:rsidRPr="00E248D4">
        <w:rPr>
          <w:rFonts w:ascii="Tenorite" w:eastAsia="Times New Roman" w:hAnsi="Tenorite" w:cs="Times New Roman"/>
          <w:b/>
          <w:bCs/>
          <w:color w:val="636363"/>
          <w:lang w:eastAsia="fr-FR"/>
        </w:rPr>
        <w:t>Instruction technique </w:t>
      </w:r>
      <w:hyperlink r:id="rId9" w:history="1">
        <w:r w:rsidRPr="00E248D4">
          <w:rPr>
            <w:rFonts w:ascii="Tenorite" w:eastAsia="Times New Roman" w:hAnsi="Tenorite" w:cs="Times New Roman"/>
            <w:color w:val="0088CC"/>
            <w:u w:val="single"/>
            <w:lang w:eastAsia="fr-FR"/>
          </w:rPr>
          <w:t>DGAL/SDATAA/2025-363</w:t>
        </w:r>
      </w:hyperlink>
      <w:r w:rsidRPr="00E248D4">
        <w:rPr>
          <w:rFonts w:ascii="Tenorite" w:eastAsia="Times New Roman" w:hAnsi="Tenorite" w:cs="Times New Roman"/>
          <w:color w:val="636363"/>
          <w:lang w:eastAsia="fr-FR"/>
        </w:rPr>
        <w:t> du 10-06-2025 - Dispositif de reconnaissance officielle des projets alimentaires territoriaux (PAT) par le ministère de l’agriculture et de la souveraineté alimentaire (DGAL)</w:t>
      </w:r>
    </w:p>
    <w:p w14:paraId="62CF0BCF" w14:textId="1EC828F8" w:rsidR="002B7CB6" w:rsidRPr="00E248D4" w:rsidRDefault="002B7CB6" w:rsidP="00E248D4">
      <w:pPr>
        <w:spacing w:after="0" w:line="240" w:lineRule="auto"/>
        <w:ind w:left="142"/>
        <w:jc w:val="both"/>
        <w:rPr>
          <w:rFonts w:ascii="Tenorite" w:hAnsi="Tenorite" w:cs="Tahoma"/>
          <w:b/>
          <w:color w:val="EF671A"/>
          <w:u w:val="single"/>
        </w:rPr>
      </w:pPr>
      <w:r w:rsidRPr="00E248D4">
        <w:rPr>
          <w:rFonts w:ascii="Tenorite" w:hAnsi="Tenorite" w:cs="Tahoma"/>
          <w:b/>
          <w:color w:val="EF671A"/>
          <w:u w:val="single"/>
        </w:rPr>
        <w:t xml:space="preserve"> </w:t>
      </w:r>
    </w:p>
    <w:p w14:paraId="3C04F21F" w14:textId="77777777" w:rsidR="002B7CB6" w:rsidRPr="00E248D4" w:rsidRDefault="002B7CB6" w:rsidP="00E248D4">
      <w:pPr>
        <w:shd w:val="clear" w:color="auto" w:fill="D9D9D9" w:themeFill="background1" w:themeFillShade="D9"/>
        <w:spacing w:after="0" w:line="240" w:lineRule="auto"/>
        <w:ind w:left="284" w:hanging="142"/>
        <w:jc w:val="both"/>
        <w:rPr>
          <w:rFonts w:ascii="Tenorite" w:hAnsi="Tenorite"/>
          <w:b/>
          <w:color w:val="833C0B" w:themeColor="accent2" w:themeShade="80"/>
        </w:rPr>
      </w:pPr>
      <w:r w:rsidRPr="00E248D4">
        <w:rPr>
          <w:rFonts w:ascii="Tenorite" w:hAnsi="Tenorite"/>
          <w:b/>
          <w:color w:val="833C0B" w:themeColor="accent2" w:themeShade="80"/>
        </w:rPr>
        <w:t xml:space="preserve">ADDITIFS, </w:t>
      </w:r>
      <w:r w:rsidR="00767DBA" w:rsidRPr="00E248D4">
        <w:rPr>
          <w:rFonts w:ascii="Tenorite" w:hAnsi="Tenorite"/>
          <w:b/>
          <w:color w:val="833C0B" w:themeColor="accent2" w:themeShade="80"/>
        </w:rPr>
        <w:t>ET INGREDIENTS</w:t>
      </w:r>
    </w:p>
    <w:p w14:paraId="24C954A6" w14:textId="77777777" w:rsidR="002B7CB6" w:rsidRPr="00E248D4" w:rsidRDefault="002B7CB6" w:rsidP="00E248D4">
      <w:pPr>
        <w:spacing w:after="0" w:line="240" w:lineRule="auto"/>
        <w:ind w:left="284" w:hanging="142"/>
        <w:jc w:val="both"/>
        <w:rPr>
          <w:rFonts w:ascii="Tenorite" w:hAnsi="Tenorite"/>
          <w:color w:val="C45911" w:themeColor="accent2" w:themeShade="BF"/>
        </w:rPr>
      </w:pPr>
      <w:r w:rsidRPr="00E248D4">
        <w:rPr>
          <w:rFonts w:ascii="Tenorite" w:hAnsi="Tenorite"/>
          <w:color w:val="C45911" w:themeColor="accent2" w:themeShade="BF"/>
        </w:rPr>
        <w:t>Additifs</w:t>
      </w:r>
    </w:p>
    <w:p w14:paraId="5D48A1F8" w14:textId="77777777" w:rsidR="00DF6016" w:rsidRPr="00E248D4" w:rsidRDefault="00DF6016" w:rsidP="00E248D4">
      <w:pPr>
        <w:pStyle w:val="Textebrut"/>
        <w:ind w:left="142"/>
        <w:jc w:val="both"/>
        <w:rPr>
          <w:rFonts w:ascii="Tenorite" w:hAnsi="Tenorite"/>
          <w:szCs w:val="22"/>
        </w:rPr>
      </w:pPr>
      <w:hyperlink r:id="rId10" w:history="1">
        <w:r w:rsidRPr="00E248D4">
          <w:rPr>
            <w:rStyle w:val="Lienhypertexte"/>
            <w:rFonts w:ascii="Tenorite" w:hAnsi="Tenorite"/>
            <w:szCs w:val="22"/>
          </w:rPr>
          <w:t>Règlement</w:t>
        </w:r>
      </w:hyperlink>
      <w:r w:rsidRPr="00E248D4">
        <w:rPr>
          <w:rFonts w:ascii="Tenorite" w:hAnsi="Tenorite"/>
          <w:szCs w:val="22"/>
        </w:rPr>
        <w:t xml:space="preserve"> (UE) 2025/1150 de la Commission du 11 juin 2025 modifiant l’annexe III du règlement (CE) no 1333/2008 du Parlement européen et du Conseil en ce qui concerne l’utilisation d’ascorbate de sodium (E 301) dans les préparations de vitamine A destinées aux préparations pour nourrissons et aux préparations de suite (JOUE 12/06/2025)</w:t>
      </w:r>
    </w:p>
    <w:p w14:paraId="199AA8C1" w14:textId="77777777" w:rsidR="00DF6016" w:rsidRPr="00E248D4" w:rsidRDefault="00DF6016" w:rsidP="00E248D4">
      <w:pPr>
        <w:spacing w:after="0" w:line="240" w:lineRule="auto"/>
        <w:ind w:left="284" w:hanging="142"/>
        <w:jc w:val="both"/>
        <w:rPr>
          <w:rFonts w:ascii="Tenorite" w:hAnsi="Tenorite"/>
          <w:color w:val="C45911" w:themeColor="accent2" w:themeShade="BF"/>
        </w:rPr>
      </w:pPr>
    </w:p>
    <w:p w14:paraId="5AC11F6C" w14:textId="77777777" w:rsidR="002B7CB6" w:rsidRPr="00E248D4" w:rsidRDefault="002B7CB6" w:rsidP="00E248D4">
      <w:pPr>
        <w:spacing w:after="0" w:line="240" w:lineRule="auto"/>
        <w:ind w:left="284" w:hanging="142"/>
        <w:jc w:val="both"/>
        <w:rPr>
          <w:rFonts w:ascii="Tenorite" w:hAnsi="Tenorite"/>
          <w:color w:val="C45911" w:themeColor="accent2" w:themeShade="BF"/>
        </w:rPr>
      </w:pPr>
      <w:r w:rsidRPr="00E248D4">
        <w:rPr>
          <w:rFonts w:ascii="Tenorite" w:hAnsi="Tenorite"/>
          <w:color w:val="C45911" w:themeColor="accent2" w:themeShade="BF"/>
        </w:rPr>
        <w:t>Arômes</w:t>
      </w:r>
    </w:p>
    <w:p w14:paraId="6307445A" w14:textId="77777777" w:rsidR="00DF6016" w:rsidRPr="00E248D4" w:rsidRDefault="00DF6016" w:rsidP="00E248D4">
      <w:pPr>
        <w:pStyle w:val="Textebrut"/>
        <w:ind w:left="142"/>
        <w:jc w:val="both"/>
        <w:rPr>
          <w:rFonts w:ascii="Tenorite" w:hAnsi="Tenorite"/>
          <w:szCs w:val="22"/>
        </w:rPr>
      </w:pPr>
      <w:hyperlink r:id="rId11" w:history="1">
        <w:r w:rsidRPr="00E248D4">
          <w:rPr>
            <w:rStyle w:val="Lienhypertexte"/>
            <w:rFonts w:ascii="Tenorite" w:hAnsi="Tenorite"/>
            <w:szCs w:val="22"/>
          </w:rPr>
          <w:t>Règlement</w:t>
        </w:r>
      </w:hyperlink>
      <w:r w:rsidRPr="00E248D4">
        <w:rPr>
          <w:rFonts w:ascii="Tenorite" w:hAnsi="Tenorite"/>
          <w:szCs w:val="22"/>
        </w:rPr>
        <w:t xml:space="preserve"> (UE) 2025/1112 de la Commission du 4 juin 2025 modifiant l’annexe I du règlement (CE) no 1334/2008 du Parlement européen et du Conseil en ce qui concerne l’inscription de la naringénine et du 2-méthyl-1-(2-(5-(p-tolyl)-1H-imidazol-2-yl)pipéridin-1-yl)butan-1-one sur la liste de l’Union des arômes (JOUE 05/06/2025)</w:t>
      </w:r>
    </w:p>
    <w:p w14:paraId="65D622F0" w14:textId="77777777" w:rsidR="00DF6016" w:rsidRPr="00E248D4" w:rsidRDefault="00DF6016" w:rsidP="00E248D4">
      <w:pPr>
        <w:spacing w:after="0" w:line="240" w:lineRule="auto"/>
        <w:ind w:left="284" w:hanging="142"/>
        <w:jc w:val="both"/>
        <w:rPr>
          <w:rFonts w:ascii="Tenorite" w:hAnsi="Tenorite"/>
          <w:color w:val="C45911" w:themeColor="accent2" w:themeShade="BF"/>
        </w:rPr>
      </w:pPr>
    </w:p>
    <w:p w14:paraId="29A0009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12D6A88" w14:textId="77777777"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Plans de contrôle, PSPC, …</w:t>
      </w:r>
    </w:p>
    <w:p w14:paraId="5485655F" w14:textId="1C8ED883" w:rsidR="00DF6016" w:rsidRDefault="00DF6016" w:rsidP="00E248D4">
      <w:pPr>
        <w:spacing w:after="0" w:line="240" w:lineRule="auto"/>
        <w:ind w:left="142"/>
        <w:jc w:val="both"/>
        <w:rPr>
          <w:rFonts w:ascii="Tenorite" w:eastAsia="Times New Roman" w:hAnsi="Tenorite" w:cs="Times New Roman"/>
          <w:color w:val="636363"/>
          <w:lang w:eastAsia="fr-FR"/>
        </w:rPr>
      </w:pPr>
      <w:r w:rsidRPr="00E248D4">
        <w:rPr>
          <w:rFonts w:ascii="Tenorite" w:eastAsia="Times New Roman" w:hAnsi="Tenorite" w:cs="Times New Roman"/>
          <w:b/>
          <w:bCs/>
          <w:color w:val="636363"/>
          <w:lang w:eastAsia="fr-FR"/>
        </w:rPr>
        <w:t>Instruction technique </w:t>
      </w:r>
      <w:hyperlink r:id="rId12" w:history="1">
        <w:r w:rsidRPr="00E248D4">
          <w:rPr>
            <w:rFonts w:ascii="Tenorite" w:eastAsia="Times New Roman" w:hAnsi="Tenorite" w:cs="Times New Roman"/>
            <w:color w:val="0088CC"/>
            <w:u w:val="single"/>
            <w:lang w:eastAsia="fr-FR"/>
          </w:rPr>
          <w:t>DGAL/SDEIGIR/2025-414</w:t>
        </w:r>
      </w:hyperlink>
      <w:r w:rsidRPr="00E248D4">
        <w:rPr>
          <w:rFonts w:ascii="Tenorite" w:eastAsia="Times New Roman" w:hAnsi="Tenorite" w:cs="Times New Roman"/>
          <w:color w:val="636363"/>
          <w:lang w:eastAsia="fr-FR"/>
        </w:rPr>
        <w:t> du 26-06-2025 - Plans de contrôle et de surveillance des résidus de produits phytopharmaceutiques en production primaire végétale pour l’année 2025 - Dispositif PSPC (DGAL)</w:t>
      </w:r>
    </w:p>
    <w:p w14:paraId="1A321C01" w14:textId="77777777" w:rsidR="00E248D4" w:rsidRPr="00E248D4" w:rsidRDefault="00E248D4" w:rsidP="00E248D4">
      <w:pPr>
        <w:spacing w:after="0" w:line="240" w:lineRule="auto"/>
        <w:ind w:left="142"/>
        <w:jc w:val="both"/>
        <w:rPr>
          <w:rFonts w:ascii="Tenorite" w:hAnsi="Tenorite"/>
          <w:color w:val="C45911" w:themeColor="accent2" w:themeShade="BF"/>
        </w:rPr>
      </w:pPr>
    </w:p>
    <w:p w14:paraId="365CBF0B"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bookmarkStart w:id="0" w:name="_Hlk202996890"/>
    <w:p w14:paraId="48B8A0E1" w14:textId="77777777" w:rsidR="00E248D4" w:rsidRDefault="00E248D4" w:rsidP="00E248D4">
      <w:pPr>
        <w:shd w:val="clear" w:color="auto" w:fill="FFFFFF"/>
        <w:spacing w:after="0" w:line="240" w:lineRule="auto"/>
        <w:ind w:left="142"/>
        <w:jc w:val="both"/>
        <w:outlineLvl w:val="2"/>
        <w:rPr>
          <w:rFonts w:ascii="Tenorite" w:hAnsi="Tenorite" w:cstheme="minorHAnsi"/>
        </w:rPr>
      </w:pPr>
      <w:r w:rsidRPr="00E248D4">
        <w:rPr>
          <w:rFonts w:ascii="Tenorite" w:hAnsi="Tenorite" w:cstheme="minorHAnsi"/>
        </w:rPr>
        <w:fldChar w:fldCharType="begin"/>
      </w:r>
      <w:r w:rsidRPr="00E248D4">
        <w:rPr>
          <w:rFonts w:ascii="Tenorite" w:hAnsi="Tenorite" w:cstheme="minorHAnsi"/>
        </w:rPr>
        <w:instrText>HYPERLINK "https://www.anses.fr/sites/default/files/PHYTO2024-AUTO-0038.pdf" \t "_blank"</w:instrText>
      </w:r>
      <w:r w:rsidRPr="00E248D4">
        <w:rPr>
          <w:rFonts w:ascii="Tenorite" w:hAnsi="Tenorite" w:cstheme="minorHAnsi"/>
        </w:rPr>
      </w:r>
      <w:r w:rsidRPr="00E248D4">
        <w:rPr>
          <w:rFonts w:ascii="Tenorite" w:hAnsi="Tenorite" w:cstheme="minorHAnsi"/>
        </w:rPr>
        <w:fldChar w:fldCharType="separate"/>
      </w:r>
      <w:r w:rsidRPr="00E248D4">
        <w:rPr>
          <w:rStyle w:val="Lienhypertexte"/>
          <w:rFonts w:ascii="Tenorite" w:eastAsia="Times New Roman" w:hAnsi="Tenorite" w:cs="Times New Roman"/>
          <w:lang w:eastAsia="fr-FR"/>
        </w:rPr>
        <w:t>Avis</w:t>
      </w:r>
      <w:r w:rsidRPr="00E248D4">
        <w:rPr>
          <w:rFonts w:ascii="Tenorite" w:hAnsi="Tenorite" w:cstheme="minorHAnsi"/>
        </w:rPr>
        <w:t xml:space="preserve"> révisé relatif à une analyse des résultats d'une étude exploratoire visant à mesurer la présence de nanoparticules dans des produits phytopharmaceutiques et des produits biocides et à proposer, le cas échéant, des mesures de gestion afin de protéger les populations et l'environnement potentiellement exposés</w:t>
      </w:r>
      <w:r w:rsidRPr="00E248D4">
        <w:rPr>
          <w:rFonts w:ascii="Tenorite" w:hAnsi="Tenorite" w:cstheme="minorHAnsi"/>
        </w:rPr>
        <w:fldChar w:fldCharType="end"/>
      </w:r>
      <w:bookmarkEnd w:id="0"/>
      <w:r w:rsidRPr="00E248D4">
        <w:rPr>
          <w:rFonts w:ascii="Tenorite" w:hAnsi="Tenorite" w:cstheme="minorHAnsi"/>
        </w:rPr>
        <w:t xml:space="preserve"> – avis signé le 23/06/2025</w:t>
      </w:r>
    </w:p>
    <w:p w14:paraId="0D27D2F0" w14:textId="77777777" w:rsidR="00E248D4" w:rsidRPr="00E248D4" w:rsidRDefault="00E248D4" w:rsidP="00E248D4">
      <w:pPr>
        <w:shd w:val="clear" w:color="auto" w:fill="FFFFFF"/>
        <w:spacing w:after="0" w:line="240" w:lineRule="auto"/>
        <w:ind w:left="142"/>
        <w:jc w:val="both"/>
        <w:outlineLvl w:val="2"/>
        <w:rPr>
          <w:rFonts w:ascii="Tenorite" w:hAnsi="Tenorite" w:cstheme="minorHAnsi"/>
        </w:rPr>
      </w:pPr>
    </w:p>
    <w:p w14:paraId="6E00AB81" w14:textId="77777777" w:rsid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r w:rsidRPr="00E248D4">
        <w:rPr>
          <w:rFonts w:ascii="Tenorite" w:eastAsia="Times New Roman" w:hAnsi="Tenorite" w:cs="Times New Roman"/>
          <w:b/>
          <w:bCs/>
          <w:color w:val="636363"/>
          <w:lang w:eastAsia="fr-FR"/>
        </w:rPr>
        <w:t>Note de service </w:t>
      </w:r>
      <w:hyperlink r:id="rId13" w:history="1">
        <w:r w:rsidRPr="00E248D4">
          <w:rPr>
            <w:rFonts w:ascii="Tenorite" w:eastAsia="Times New Roman" w:hAnsi="Tenorite" w:cs="Times New Roman"/>
            <w:color w:val="0088CC"/>
            <w:u w:val="single"/>
            <w:lang w:eastAsia="fr-FR"/>
          </w:rPr>
          <w:t>DGAL/SDSPV/2025-361</w:t>
        </w:r>
      </w:hyperlink>
      <w:r w:rsidRPr="00E248D4">
        <w:rPr>
          <w:rFonts w:ascii="Tenorite" w:eastAsia="Times New Roman" w:hAnsi="Tenorite" w:cs="Times New Roman"/>
          <w:color w:val="636363"/>
          <w:lang w:eastAsia="fr-FR"/>
        </w:rPr>
        <w:t> du 03-06-2025 - Liste des produits phytopharmaceutiques de biocontrôle, au titre des articles L.253-5 et L.253-7 du code rural et de la pêche maritime. (DGAL)</w:t>
      </w:r>
    </w:p>
    <w:p w14:paraId="1F915616" w14:textId="77777777" w:rsidR="00E248D4" w:rsidRPr="00E248D4" w:rsidRDefault="00E248D4" w:rsidP="00E248D4">
      <w:pPr>
        <w:shd w:val="clear" w:color="auto" w:fill="FFFFFF"/>
        <w:spacing w:after="0" w:line="240" w:lineRule="auto"/>
        <w:ind w:left="142"/>
        <w:jc w:val="both"/>
        <w:rPr>
          <w:rFonts w:ascii="Tenorite" w:hAnsi="Tenorite"/>
        </w:rPr>
      </w:pPr>
    </w:p>
    <w:p w14:paraId="2AC076EA" w14:textId="77777777" w:rsid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hyperlink r:id="rId14" w:history="1">
        <w:r w:rsidRPr="00E248D4">
          <w:rPr>
            <w:rStyle w:val="Lienhypertexte"/>
            <w:rFonts w:ascii="Tenorite" w:eastAsia="Times New Roman" w:hAnsi="Tenorite" w:cs="Times New Roman"/>
            <w:lang w:eastAsia="fr-FR"/>
          </w:rPr>
          <w:t>Règlement</w:t>
        </w:r>
      </w:hyperlink>
      <w:r w:rsidRPr="00E248D4">
        <w:rPr>
          <w:rFonts w:ascii="Tenorite" w:eastAsia="Times New Roman" w:hAnsi="Tenorite" w:cs="Times New Roman"/>
          <w:color w:val="636363"/>
          <w:lang w:eastAsia="fr-FR"/>
        </w:rPr>
        <w:t xml:space="preserve"> d’exécution (UE) 2025/1092 de la Commission du 2 juin 2025 modifiant le règlement d’exécution (UE) no 540/2011 pour mettre à jour la liste des substances actives approuvées ou réputées approuvées en vertu du règlement (CE) no 1107/2009 du Parlement européen et du Conseil (JOUE 03/06/2025)</w:t>
      </w:r>
    </w:p>
    <w:p w14:paraId="0F013AAA" w14:textId="77777777" w:rsidR="00E248D4" w:rsidRP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p>
    <w:p w14:paraId="349EBD02" w14:textId="77777777" w:rsid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hyperlink r:id="rId15" w:history="1">
        <w:r w:rsidRPr="00E248D4">
          <w:rPr>
            <w:rStyle w:val="Lienhypertexte"/>
            <w:rFonts w:ascii="Tenorite" w:eastAsia="Times New Roman" w:hAnsi="Tenorite" w:cs="Times New Roman"/>
            <w:lang w:eastAsia="fr-FR"/>
          </w:rPr>
          <w:t>Décision</w:t>
        </w:r>
      </w:hyperlink>
      <w:r w:rsidRPr="00E248D4">
        <w:rPr>
          <w:rFonts w:ascii="Tenorite" w:eastAsia="Times New Roman" w:hAnsi="Tenorite" w:cs="Times New Roman"/>
          <w:color w:val="636363"/>
          <w:lang w:eastAsia="fr-FR"/>
        </w:rPr>
        <w:t xml:space="preserve"> d’exécution (UE) 2025/1074 de la Commission du 2 juin 2025 refusant l’approbation de l’oxyde d’éthylène en tant que substance active destinée à être utilisée dans des produits biocides relevant du type de produits 2 conformément au règlement (UE) no 528/2012 du Parlement européen et du Conseil (JOUE 03/06/2025)</w:t>
      </w:r>
    </w:p>
    <w:p w14:paraId="5B674FB0" w14:textId="77777777" w:rsidR="008B535C" w:rsidRPr="00E248D4" w:rsidRDefault="008B535C" w:rsidP="00E248D4">
      <w:pPr>
        <w:shd w:val="clear" w:color="auto" w:fill="FFFFFF"/>
        <w:spacing w:after="0" w:line="240" w:lineRule="auto"/>
        <w:ind w:left="142"/>
        <w:jc w:val="both"/>
        <w:rPr>
          <w:rFonts w:ascii="Tenorite" w:eastAsia="Times New Roman" w:hAnsi="Tenorite" w:cs="Times New Roman"/>
          <w:color w:val="636363"/>
          <w:lang w:eastAsia="fr-FR"/>
        </w:rPr>
      </w:pPr>
    </w:p>
    <w:p w14:paraId="48C5D2F0" w14:textId="77777777" w:rsidR="00E248D4" w:rsidRDefault="00E248D4" w:rsidP="008B535C">
      <w:pPr>
        <w:shd w:val="clear" w:color="auto" w:fill="FFFFFF"/>
        <w:spacing w:after="0" w:line="240" w:lineRule="auto"/>
        <w:ind w:left="142"/>
        <w:jc w:val="both"/>
        <w:rPr>
          <w:rFonts w:ascii="Tenorite" w:eastAsia="Times New Roman" w:hAnsi="Tenorite" w:cs="Times New Roman"/>
          <w:color w:val="636363"/>
          <w:lang w:eastAsia="fr-FR"/>
        </w:rPr>
      </w:pPr>
      <w:hyperlink r:id="rId16" w:history="1">
        <w:r w:rsidRPr="008B535C">
          <w:rPr>
            <w:rStyle w:val="Lienhypertexte"/>
            <w:rFonts w:ascii="Tenorite" w:eastAsia="Times New Roman" w:hAnsi="Tenorite" w:cs="Times New Roman"/>
            <w:lang w:eastAsia="fr-FR"/>
          </w:rPr>
          <w:t>Règlement</w:t>
        </w:r>
      </w:hyperlink>
      <w:r w:rsidRPr="008B535C">
        <w:rPr>
          <w:rFonts w:ascii="Tenorite" w:eastAsia="Times New Roman" w:hAnsi="Tenorite" w:cs="Times New Roman"/>
          <w:color w:val="636363"/>
          <w:lang w:eastAsia="fr-FR"/>
        </w:rPr>
        <w:t xml:space="preserve"> (UE) 2025/1090 de la Commission du 2 juin 2025 modifiant l’annexe XVII du règlement (CE) no 1907/2006 du Parlement européen et du Conseil en ce qui concerne le N,N-</w:t>
      </w:r>
      <w:proofErr w:type="spellStart"/>
      <w:r w:rsidRPr="008B535C">
        <w:rPr>
          <w:rFonts w:ascii="Tenorite" w:eastAsia="Times New Roman" w:hAnsi="Tenorite" w:cs="Times New Roman"/>
          <w:color w:val="636363"/>
          <w:lang w:eastAsia="fr-FR"/>
        </w:rPr>
        <w:t>diméthylacétamide</w:t>
      </w:r>
      <w:proofErr w:type="spellEnd"/>
      <w:r w:rsidRPr="008B535C">
        <w:rPr>
          <w:rFonts w:ascii="Tenorite" w:eastAsia="Times New Roman" w:hAnsi="Tenorite" w:cs="Times New Roman"/>
          <w:color w:val="636363"/>
          <w:lang w:eastAsia="fr-FR"/>
        </w:rPr>
        <w:t xml:space="preserve"> (DMAC) et la 1-éthylpyrrolidin-2-one (NEP) (JOUE 03/06/2025)</w:t>
      </w:r>
    </w:p>
    <w:p w14:paraId="4727CAC1"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683A1987" w14:textId="77777777" w:rsidR="00E248D4" w:rsidRDefault="00E248D4" w:rsidP="008B535C">
      <w:pPr>
        <w:shd w:val="clear" w:color="auto" w:fill="FFFFFF"/>
        <w:spacing w:after="0" w:line="240" w:lineRule="auto"/>
        <w:ind w:left="142"/>
        <w:jc w:val="both"/>
        <w:rPr>
          <w:rFonts w:ascii="Tenorite" w:hAnsi="Tenorite"/>
        </w:rPr>
      </w:pPr>
      <w:hyperlink r:id="rId17" w:history="1">
        <w:r w:rsidRPr="008B535C">
          <w:rPr>
            <w:rStyle w:val="Lienhypertexte"/>
            <w:rFonts w:ascii="Tenorite" w:hAnsi="Tenorite"/>
          </w:rPr>
          <w:t>COMMUNICATION DE LA COMMISSION</w:t>
        </w:r>
      </w:hyperlink>
      <w:r w:rsidRPr="008B535C">
        <w:rPr>
          <w:rFonts w:ascii="Tenorite" w:hAnsi="Tenorite"/>
        </w:rPr>
        <w:t xml:space="preserve"> — Document d’orientation sur la </w:t>
      </w:r>
      <w:proofErr w:type="spellStart"/>
      <w:r w:rsidRPr="008B535C">
        <w:rPr>
          <w:rFonts w:ascii="Tenorite" w:hAnsi="Tenorite"/>
        </w:rPr>
        <w:t>définitin</w:t>
      </w:r>
      <w:proofErr w:type="spellEnd"/>
      <w:r w:rsidRPr="008B535C">
        <w:rPr>
          <w:rFonts w:ascii="Tenorite" w:hAnsi="Tenorite"/>
        </w:rPr>
        <w:t xml:space="preserve"> de conditions d’utilisation similaires dans toute l’Union en application de l’article 42, paragraphe 2, du règlement (UE) no 528/2012 du Parlement européen et du Conseil concernant la mise à disposition sur le marché et l’utilisation des produits biocides (JOUE 04/06/2025)</w:t>
      </w:r>
    </w:p>
    <w:p w14:paraId="231DB4BE" w14:textId="77777777" w:rsidR="008B535C" w:rsidRPr="008B535C" w:rsidRDefault="008B535C" w:rsidP="008B535C">
      <w:pPr>
        <w:shd w:val="clear" w:color="auto" w:fill="FFFFFF"/>
        <w:spacing w:after="0" w:line="240" w:lineRule="auto"/>
        <w:ind w:left="142"/>
        <w:jc w:val="both"/>
        <w:rPr>
          <w:rFonts w:ascii="Tenorite" w:hAnsi="Tenorite"/>
        </w:rPr>
      </w:pPr>
    </w:p>
    <w:p w14:paraId="17F22FCE" w14:textId="77777777" w:rsidR="00E248D4" w:rsidRDefault="00E248D4" w:rsidP="008B535C">
      <w:pPr>
        <w:shd w:val="clear" w:color="auto" w:fill="FFFFFF"/>
        <w:spacing w:after="0" w:line="240" w:lineRule="auto"/>
        <w:ind w:left="142"/>
        <w:jc w:val="both"/>
        <w:rPr>
          <w:rFonts w:ascii="Tenorite" w:hAnsi="Tenorite"/>
        </w:rPr>
      </w:pPr>
      <w:hyperlink r:id="rId18" w:history="1">
        <w:r w:rsidRPr="008B535C">
          <w:rPr>
            <w:rStyle w:val="Lienhypertexte"/>
            <w:rFonts w:ascii="Tenorite" w:hAnsi="Tenorite"/>
          </w:rPr>
          <w:t>Rectificatif</w:t>
        </w:r>
      </w:hyperlink>
      <w:r w:rsidRPr="008B535C">
        <w:rPr>
          <w:rFonts w:ascii="Tenorite" w:hAnsi="Tenorite"/>
        </w:rPr>
        <w:t xml:space="preserve"> au règlement (UE) 2023/2055 de la Commission du 25 septembre 2023 modifiant l’annexe XVII du règlement (CE) no 1907/2006 du Parlement européen et du Conseil concernant l’enregistrement, l’évaluation et l’autorisation des substances chimiques, ainsi que les restrictions applicables à ces substances (REACH), en ce qui concerne les microparticules de polymère synthétique (JOUE 06/06/2025)</w:t>
      </w:r>
    </w:p>
    <w:p w14:paraId="652629E4" w14:textId="77777777" w:rsidR="008B535C" w:rsidRPr="008B535C" w:rsidRDefault="008B535C" w:rsidP="008B535C">
      <w:pPr>
        <w:shd w:val="clear" w:color="auto" w:fill="FFFFFF"/>
        <w:spacing w:after="0" w:line="240" w:lineRule="auto"/>
        <w:ind w:left="142"/>
        <w:jc w:val="both"/>
        <w:rPr>
          <w:rFonts w:ascii="Tenorite" w:hAnsi="Tenorite"/>
        </w:rPr>
      </w:pPr>
    </w:p>
    <w:p w14:paraId="4120AA8F" w14:textId="77777777" w:rsidR="00E248D4" w:rsidRDefault="00E248D4" w:rsidP="008B535C">
      <w:pPr>
        <w:shd w:val="clear" w:color="auto" w:fill="FFFFFF"/>
        <w:spacing w:after="0" w:line="240" w:lineRule="auto"/>
        <w:ind w:left="142"/>
        <w:jc w:val="both"/>
        <w:rPr>
          <w:rFonts w:ascii="Tenorite" w:hAnsi="Tenorite"/>
        </w:rPr>
      </w:pPr>
      <w:hyperlink r:id="rId19" w:history="1">
        <w:r w:rsidRPr="008B535C">
          <w:rPr>
            <w:rStyle w:val="Lienhypertexte"/>
            <w:rFonts w:ascii="Tenorite" w:hAnsi="Tenorite"/>
          </w:rPr>
          <w:t>Règlement</w:t>
        </w:r>
      </w:hyperlink>
      <w:r w:rsidRPr="008B535C">
        <w:rPr>
          <w:rFonts w:ascii="Tenorite" w:hAnsi="Tenorite"/>
        </w:rPr>
        <w:t xml:space="preserve"> d’exécution (UE) 2025/1152 de la Commission du 11 juin 2025 renouvelant l’approbation de la substance active quinoléine-8-ol comme substance dont on envisage la substitution, conformément au règlement (CE) no 1107/2009 du Parlement européen et du Conseil, et modifiant les règlements d’exécution (UE) no 540/2011 et (UE) 2015/408 de la Commission (JOUE 12/06/2025)</w:t>
      </w:r>
    </w:p>
    <w:p w14:paraId="2527CA1F" w14:textId="77777777" w:rsidR="008B535C" w:rsidRPr="008B535C" w:rsidRDefault="008B535C" w:rsidP="008B535C">
      <w:pPr>
        <w:shd w:val="clear" w:color="auto" w:fill="FFFFFF"/>
        <w:spacing w:after="0" w:line="240" w:lineRule="auto"/>
        <w:ind w:left="142"/>
        <w:jc w:val="both"/>
        <w:rPr>
          <w:rFonts w:ascii="Tenorite" w:hAnsi="Tenorite"/>
        </w:rPr>
      </w:pPr>
    </w:p>
    <w:p w14:paraId="1D3BF6AF" w14:textId="77777777" w:rsidR="00E248D4" w:rsidRDefault="00E248D4" w:rsidP="008B535C">
      <w:pPr>
        <w:shd w:val="clear" w:color="auto" w:fill="FFFFFF"/>
        <w:spacing w:after="0" w:line="240" w:lineRule="auto"/>
        <w:ind w:left="142"/>
        <w:jc w:val="both"/>
        <w:rPr>
          <w:rFonts w:ascii="Tenorite" w:hAnsi="Tenorite"/>
        </w:rPr>
      </w:pPr>
      <w:hyperlink r:id="rId20" w:history="1">
        <w:r w:rsidRPr="008B535C">
          <w:rPr>
            <w:rStyle w:val="Lienhypertexte"/>
            <w:rFonts w:ascii="Tenorite" w:hAnsi="Tenorite"/>
          </w:rPr>
          <w:t>Règlement</w:t>
        </w:r>
      </w:hyperlink>
      <w:r w:rsidRPr="008B535C">
        <w:rPr>
          <w:rFonts w:ascii="Tenorite" w:hAnsi="Tenorite"/>
        </w:rPr>
        <w:t xml:space="preserve"> d’exécution (UE) 2025/1171 de la Commission du 16 juin 2025 accordant une autorisation de l’Union pour la famille de produits biocides dénommée </w:t>
      </w:r>
      <w:proofErr w:type="spellStart"/>
      <w:r w:rsidRPr="008B535C">
        <w:rPr>
          <w:rFonts w:ascii="Tenorite" w:hAnsi="Tenorite"/>
        </w:rPr>
        <w:t>PRODHYNET’s</w:t>
      </w:r>
      <w:proofErr w:type="spellEnd"/>
      <w:r w:rsidRPr="008B535C">
        <w:rPr>
          <w:rFonts w:ascii="Tenorite" w:hAnsi="Tenorite"/>
        </w:rPr>
        <w:t xml:space="preserve"> </w:t>
      </w:r>
      <w:proofErr w:type="spellStart"/>
      <w:r w:rsidRPr="008B535C">
        <w:rPr>
          <w:rFonts w:ascii="Tenorite" w:hAnsi="Tenorite"/>
        </w:rPr>
        <w:t>Lactic</w:t>
      </w:r>
      <w:proofErr w:type="spellEnd"/>
      <w:r w:rsidRPr="008B535C">
        <w:rPr>
          <w:rFonts w:ascii="Tenorite" w:hAnsi="Tenorite"/>
        </w:rPr>
        <w:t xml:space="preserve"> </w:t>
      </w:r>
      <w:proofErr w:type="spellStart"/>
      <w:r w:rsidRPr="008B535C">
        <w:rPr>
          <w:rFonts w:ascii="Tenorite" w:hAnsi="Tenorite"/>
        </w:rPr>
        <w:t>acid</w:t>
      </w:r>
      <w:proofErr w:type="spellEnd"/>
      <w:r w:rsidRPr="008B535C">
        <w:rPr>
          <w:rFonts w:ascii="Tenorite" w:hAnsi="Tenorite"/>
        </w:rPr>
        <w:t xml:space="preserve"> </w:t>
      </w:r>
      <w:proofErr w:type="spellStart"/>
      <w:r w:rsidRPr="008B535C">
        <w:rPr>
          <w:rFonts w:ascii="Tenorite" w:hAnsi="Tenorite"/>
        </w:rPr>
        <w:t>based</w:t>
      </w:r>
      <w:proofErr w:type="spellEnd"/>
      <w:r w:rsidRPr="008B535C">
        <w:rPr>
          <w:rFonts w:ascii="Tenorite" w:hAnsi="Tenorite"/>
        </w:rPr>
        <w:t xml:space="preserve"> </w:t>
      </w:r>
      <w:proofErr w:type="spellStart"/>
      <w:r w:rsidRPr="008B535C">
        <w:rPr>
          <w:rFonts w:ascii="Tenorite" w:hAnsi="Tenorite"/>
        </w:rPr>
        <w:t>products</w:t>
      </w:r>
      <w:proofErr w:type="spellEnd"/>
      <w:r w:rsidRPr="008B535C">
        <w:rPr>
          <w:rFonts w:ascii="Tenorite" w:hAnsi="Tenorite"/>
        </w:rPr>
        <w:t xml:space="preserve"> conformément au règlement (UE) no 528/2012 du Parlement européen et du Conseil (JOUE 17/06/2025)</w:t>
      </w:r>
    </w:p>
    <w:p w14:paraId="488C17D0" w14:textId="77777777" w:rsidR="008B535C" w:rsidRPr="008B535C" w:rsidRDefault="008B535C" w:rsidP="008B535C">
      <w:pPr>
        <w:shd w:val="clear" w:color="auto" w:fill="FFFFFF"/>
        <w:spacing w:after="0" w:line="240" w:lineRule="auto"/>
        <w:ind w:left="142"/>
        <w:jc w:val="both"/>
        <w:rPr>
          <w:rFonts w:ascii="Tenorite" w:hAnsi="Tenorite"/>
        </w:rPr>
      </w:pPr>
    </w:p>
    <w:p w14:paraId="20735D09" w14:textId="77777777" w:rsidR="00E248D4" w:rsidRDefault="00E248D4" w:rsidP="008B535C">
      <w:pPr>
        <w:shd w:val="clear" w:color="auto" w:fill="FFFFFF"/>
        <w:spacing w:after="0" w:line="240" w:lineRule="auto"/>
        <w:ind w:left="142"/>
        <w:jc w:val="both"/>
        <w:rPr>
          <w:rFonts w:ascii="Tenorite" w:hAnsi="Tenorite"/>
        </w:rPr>
      </w:pPr>
      <w:hyperlink r:id="rId21" w:history="1">
        <w:r w:rsidRPr="008B535C">
          <w:rPr>
            <w:rStyle w:val="Lienhypertexte"/>
            <w:rFonts w:ascii="Tenorite" w:hAnsi="Tenorite"/>
          </w:rPr>
          <w:t>Règlement</w:t>
        </w:r>
      </w:hyperlink>
      <w:r w:rsidRPr="008B535C">
        <w:rPr>
          <w:rFonts w:ascii="Tenorite" w:hAnsi="Tenorite"/>
        </w:rPr>
        <w:t xml:space="preserve"> d’exécution (UE) 2025/1177 de la Commission du 16 juin 2025 approuvant le lysat de </w:t>
      </w:r>
      <w:proofErr w:type="spellStart"/>
      <w:r w:rsidRPr="008B535C">
        <w:rPr>
          <w:rFonts w:ascii="Tenorite" w:hAnsi="Tenorite"/>
        </w:rPr>
        <w:t>Willaertia</w:t>
      </w:r>
      <w:proofErr w:type="spellEnd"/>
      <w:r w:rsidRPr="008B535C">
        <w:rPr>
          <w:rFonts w:ascii="Tenorite" w:hAnsi="Tenorite"/>
        </w:rPr>
        <w:t xml:space="preserve"> magna en tant que substance active à faible risque conformément au règlement (CE) no 1107/2009 du Parlement européen et du Conseil, et modifiant le règlement d’exécution (UE) no 540/2011 de la Commission (JOUE 17/06/2025)</w:t>
      </w:r>
    </w:p>
    <w:p w14:paraId="0CBA9027" w14:textId="77777777" w:rsidR="008B535C" w:rsidRPr="008B535C" w:rsidRDefault="008B535C" w:rsidP="008B535C">
      <w:pPr>
        <w:shd w:val="clear" w:color="auto" w:fill="FFFFFF"/>
        <w:spacing w:after="0" w:line="240" w:lineRule="auto"/>
        <w:ind w:left="142"/>
        <w:jc w:val="both"/>
        <w:rPr>
          <w:rFonts w:ascii="Tenorite" w:hAnsi="Tenorite"/>
        </w:rPr>
      </w:pPr>
    </w:p>
    <w:p w14:paraId="04C4E45C" w14:textId="77777777" w:rsidR="00E248D4" w:rsidRDefault="00E248D4" w:rsidP="008B535C">
      <w:pPr>
        <w:shd w:val="clear" w:color="auto" w:fill="FFFFFF"/>
        <w:spacing w:after="0" w:line="240" w:lineRule="auto"/>
        <w:ind w:left="142"/>
        <w:jc w:val="both"/>
        <w:rPr>
          <w:rFonts w:ascii="Tenorite" w:hAnsi="Tenorite"/>
        </w:rPr>
      </w:pPr>
      <w:hyperlink r:id="rId22" w:history="1">
        <w:r w:rsidRPr="008B535C">
          <w:rPr>
            <w:rStyle w:val="Lienhypertexte"/>
            <w:rFonts w:ascii="Tenorite" w:hAnsi="Tenorite"/>
          </w:rPr>
          <w:t>Règlement</w:t>
        </w:r>
      </w:hyperlink>
      <w:r w:rsidRPr="008B535C">
        <w:rPr>
          <w:rFonts w:ascii="Tenorite" w:hAnsi="Tenorite"/>
        </w:rPr>
        <w:t xml:space="preserve"> d’exécution (UE) 2025/1116 de la Commission du 12 juin 2025 accordant une autorisation de l’Union pour la famille de produits biocides dénommée PAA </w:t>
      </w:r>
      <w:proofErr w:type="spellStart"/>
      <w:r w:rsidRPr="008B535C">
        <w:rPr>
          <w:rFonts w:ascii="Tenorite" w:hAnsi="Tenorite"/>
        </w:rPr>
        <w:t>family</w:t>
      </w:r>
      <w:proofErr w:type="spellEnd"/>
      <w:r w:rsidRPr="008B535C">
        <w:rPr>
          <w:rFonts w:ascii="Tenorite" w:hAnsi="Tenorite"/>
        </w:rPr>
        <w:t xml:space="preserve"> UCO Group conformément au règlement (UE) no 528/2012 du Parlement européen et du Conseil (JOUE 17/06/2025)</w:t>
      </w:r>
    </w:p>
    <w:p w14:paraId="5AC54C54" w14:textId="77777777" w:rsidR="008B535C" w:rsidRPr="008B535C" w:rsidRDefault="008B535C" w:rsidP="008B535C">
      <w:pPr>
        <w:shd w:val="clear" w:color="auto" w:fill="FFFFFF"/>
        <w:spacing w:after="0" w:line="240" w:lineRule="auto"/>
        <w:ind w:left="142"/>
        <w:jc w:val="both"/>
        <w:rPr>
          <w:rFonts w:ascii="Tenorite" w:hAnsi="Tenorite"/>
        </w:rPr>
      </w:pPr>
    </w:p>
    <w:p w14:paraId="107958D8" w14:textId="77777777" w:rsidR="00E248D4" w:rsidRDefault="00E248D4" w:rsidP="008B535C">
      <w:pPr>
        <w:shd w:val="clear" w:color="auto" w:fill="FFFFFF"/>
        <w:spacing w:after="0" w:line="240" w:lineRule="auto"/>
        <w:ind w:left="142"/>
        <w:jc w:val="both"/>
        <w:rPr>
          <w:rFonts w:ascii="Tenorite" w:hAnsi="Tenorite"/>
        </w:rPr>
      </w:pPr>
      <w:hyperlink r:id="rId23" w:history="1">
        <w:r w:rsidRPr="008B535C">
          <w:rPr>
            <w:rStyle w:val="Lienhypertexte"/>
            <w:rFonts w:ascii="Tenorite" w:hAnsi="Tenorite"/>
          </w:rPr>
          <w:t>Règlement</w:t>
        </w:r>
      </w:hyperlink>
      <w:r w:rsidRPr="008B535C">
        <w:rPr>
          <w:rFonts w:ascii="Tenorite" w:hAnsi="Tenorite"/>
        </w:rPr>
        <w:t xml:space="preserve"> d’exécution (UE) 2025/1186 de la Commission du 17 juin 2025 accordant une autorisation de l’Union pour le produit biocide unique dénommé </w:t>
      </w:r>
      <w:proofErr w:type="spellStart"/>
      <w:r w:rsidRPr="008B535C">
        <w:rPr>
          <w:rFonts w:ascii="Tenorite" w:hAnsi="Tenorite"/>
        </w:rPr>
        <w:t>exeol</w:t>
      </w:r>
      <w:proofErr w:type="spellEnd"/>
      <w:r w:rsidRPr="008B535C">
        <w:rPr>
          <w:rFonts w:ascii="Tenorite" w:hAnsi="Tenorite"/>
        </w:rPr>
        <w:t xml:space="preserve"> air cid 01 conformément au règlement (UE) no 528/2012 du Parlement européen et du Conseil (JOUE 17/06/2025)</w:t>
      </w:r>
    </w:p>
    <w:p w14:paraId="600D61EA" w14:textId="77777777" w:rsidR="008B535C" w:rsidRPr="008B535C" w:rsidRDefault="008B535C" w:rsidP="008B535C">
      <w:pPr>
        <w:shd w:val="clear" w:color="auto" w:fill="FFFFFF"/>
        <w:spacing w:after="0" w:line="240" w:lineRule="auto"/>
        <w:ind w:left="142"/>
        <w:jc w:val="both"/>
        <w:rPr>
          <w:rFonts w:ascii="Tenorite" w:hAnsi="Tenorite"/>
        </w:rPr>
      </w:pPr>
    </w:p>
    <w:p w14:paraId="1A520B85" w14:textId="77777777" w:rsidR="00E248D4" w:rsidRDefault="00E248D4" w:rsidP="008B535C">
      <w:pPr>
        <w:shd w:val="clear" w:color="auto" w:fill="FFFFFF"/>
        <w:spacing w:after="0" w:line="240" w:lineRule="auto"/>
        <w:ind w:left="142"/>
        <w:jc w:val="both"/>
        <w:rPr>
          <w:rFonts w:ascii="Tenorite" w:hAnsi="Tenorite"/>
        </w:rPr>
      </w:pPr>
      <w:hyperlink r:id="rId24" w:history="1">
        <w:r w:rsidRPr="008B535C">
          <w:rPr>
            <w:rStyle w:val="Lienhypertexte"/>
            <w:rFonts w:ascii="Tenorite" w:hAnsi="Tenorite"/>
          </w:rPr>
          <w:t>Règlement</w:t>
        </w:r>
      </w:hyperlink>
      <w:r w:rsidRPr="008B535C">
        <w:rPr>
          <w:rFonts w:ascii="Tenorite" w:hAnsi="Tenorite"/>
        </w:rPr>
        <w:t xml:space="preserve"> d’exécution (UE) 2025/1196 de la Commission du 18 juin 2025 annulant l’autorisation de l’Union pour le produit biocide unique </w:t>
      </w:r>
      <w:proofErr w:type="spellStart"/>
      <w:r w:rsidRPr="008B535C">
        <w:rPr>
          <w:rFonts w:ascii="Tenorite" w:hAnsi="Tenorite"/>
        </w:rPr>
        <w:t>Nordkalk</w:t>
      </w:r>
      <w:proofErr w:type="spellEnd"/>
      <w:r w:rsidRPr="008B535C">
        <w:rPr>
          <w:rFonts w:ascii="Tenorite" w:hAnsi="Tenorite"/>
        </w:rPr>
        <w:t xml:space="preserve"> Filtra G conformément au règlement (UE) no 528/2012 du Parlement européen et du Conseil et abrogeant le règlement d’exécution (UE) 2024/2400 de la Commission (JOUE 19/06/2025)</w:t>
      </w:r>
    </w:p>
    <w:p w14:paraId="4304FAC7" w14:textId="77777777" w:rsidR="008B535C" w:rsidRPr="008B535C" w:rsidRDefault="008B535C" w:rsidP="008B535C">
      <w:pPr>
        <w:shd w:val="clear" w:color="auto" w:fill="FFFFFF"/>
        <w:spacing w:after="0" w:line="240" w:lineRule="auto"/>
        <w:ind w:left="142"/>
        <w:jc w:val="both"/>
        <w:rPr>
          <w:rFonts w:ascii="Tenorite" w:hAnsi="Tenorite"/>
        </w:rPr>
      </w:pPr>
    </w:p>
    <w:p w14:paraId="5890B7DE" w14:textId="77777777" w:rsidR="00E248D4" w:rsidRDefault="00E248D4" w:rsidP="008B535C">
      <w:pPr>
        <w:shd w:val="clear" w:color="auto" w:fill="FFFFFF"/>
        <w:spacing w:after="0" w:line="240" w:lineRule="auto"/>
        <w:ind w:left="142"/>
        <w:jc w:val="both"/>
        <w:rPr>
          <w:rFonts w:ascii="Tenorite" w:hAnsi="Tenorite"/>
        </w:rPr>
      </w:pPr>
      <w:hyperlink r:id="rId25" w:history="1">
        <w:r w:rsidRPr="008B535C">
          <w:rPr>
            <w:rStyle w:val="Lienhypertexte"/>
            <w:rFonts w:ascii="Tenorite" w:hAnsi="Tenorite"/>
          </w:rPr>
          <w:t>Règlement</w:t>
        </w:r>
      </w:hyperlink>
      <w:r w:rsidRPr="008B535C">
        <w:rPr>
          <w:rFonts w:ascii="Tenorite" w:hAnsi="Tenorite"/>
        </w:rPr>
        <w:t xml:space="preserve"> délégué (UE) 2025/1222 de la Commission du 2 avril 2025 modifiant le règlement (CE) no 1272/2008 du Parlement européen et du Conseil en ce qui concerne la classification et l’étiquetage harmonisés de certaines substances (JOUE 20/06/2025)</w:t>
      </w:r>
    </w:p>
    <w:p w14:paraId="22EA9520" w14:textId="77777777" w:rsidR="008B535C" w:rsidRPr="008B535C" w:rsidRDefault="008B535C" w:rsidP="008B535C">
      <w:pPr>
        <w:shd w:val="clear" w:color="auto" w:fill="FFFFFF"/>
        <w:spacing w:after="0" w:line="240" w:lineRule="auto"/>
        <w:ind w:left="142"/>
        <w:jc w:val="both"/>
        <w:rPr>
          <w:rFonts w:ascii="Tenorite" w:hAnsi="Tenorite"/>
        </w:rPr>
      </w:pPr>
    </w:p>
    <w:p w14:paraId="42EAB596" w14:textId="77777777" w:rsidR="00E248D4" w:rsidRDefault="00E248D4" w:rsidP="008B535C">
      <w:pPr>
        <w:shd w:val="clear" w:color="auto" w:fill="FFFFFF"/>
        <w:spacing w:after="0" w:line="240" w:lineRule="auto"/>
        <w:ind w:left="142"/>
        <w:jc w:val="both"/>
        <w:rPr>
          <w:rFonts w:ascii="Tenorite" w:hAnsi="Tenorite"/>
        </w:rPr>
      </w:pPr>
      <w:hyperlink r:id="rId26" w:history="1">
        <w:r w:rsidRPr="008B535C">
          <w:rPr>
            <w:rStyle w:val="Lienhypertexte"/>
            <w:rFonts w:ascii="Tenorite" w:hAnsi="Tenorite"/>
          </w:rPr>
          <w:t>Règlement</w:t>
        </w:r>
      </w:hyperlink>
      <w:r w:rsidRPr="008B535C">
        <w:rPr>
          <w:rFonts w:ascii="Tenorite" w:hAnsi="Tenorite"/>
        </w:rPr>
        <w:t xml:space="preserve"> d’exécution (UE) 2025/1248 de la Commission du 26 juin 2025 renouvelant l’approbation de l’epsilon-</w:t>
      </w:r>
      <w:proofErr w:type="spellStart"/>
      <w:r w:rsidRPr="008B535C">
        <w:rPr>
          <w:rFonts w:ascii="Tenorite" w:hAnsi="Tenorite"/>
        </w:rPr>
        <w:t>métofluthrine</w:t>
      </w:r>
      <w:proofErr w:type="spellEnd"/>
      <w:r w:rsidRPr="008B535C">
        <w:rPr>
          <w:rFonts w:ascii="Tenorite" w:hAnsi="Tenorite"/>
        </w:rPr>
        <w:t xml:space="preserve"> en tant que substance active destinée à être utilisée dans les produits biocides relevant du type de produits 18, conformément au règlement (UE) no 528/2012 du Parlement européen et du Conseil (JOUE 27/06/2025)</w:t>
      </w:r>
    </w:p>
    <w:p w14:paraId="522A6C70" w14:textId="77777777" w:rsidR="008B535C" w:rsidRPr="008B535C" w:rsidRDefault="008B535C" w:rsidP="008B535C">
      <w:pPr>
        <w:shd w:val="clear" w:color="auto" w:fill="FFFFFF"/>
        <w:spacing w:after="0" w:line="240" w:lineRule="auto"/>
        <w:ind w:left="142"/>
        <w:jc w:val="both"/>
        <w:rPr>
          <w:rFonts w:ascii="Tenorite" w:hAnsi="Tenorite"/>
        </w:rPr>
      </w:pPr>
    </w:p>
    <w:p w14:paraId="41451196" w14:textId="77777777" w:rsidR="00E248D4" w:rsidRPr="008B535C" w:rsidRDefault="00E248D4" w:rsidP="008B535C">
      <w:pPr>
        <w:shd w:val="clear" w:color="auto" w:fill="FFFFFF"/>
        <w:spacing w:after="0" w:line="240" w:lineRule="auto"/>
        <w:ind w:left="142"/>
        <w:jc w:val="both"/>
        <w:rPr>
          <w:rFonts w:ascii="Tenorite" w:hAnsi="Tenorite"/>
        </w:rPr>
      </w:pPr>
      <w:hyperlink r:id="rId27" w:history="1">
        <w:r w:rsidRPr="008B535C">
          <w:rPr>
            <w:rStyle w:val="Lienhypertexte"/>
            <w:rFonts w:ascii="Tenorite" w:hAnsi="Tenorite"/>
          </w:rPr>
          <w:t>Règlement</w:t>
        </w:r>
      </w:hyperlink>
      <w:r w:rsidRPr="008B535C">
        <w:rPr>
          <w:rFonts w:ascii="Tenorite" w:hAnsi="Tenorite"/>
        </w:rPr>
        <w:t xml:space="preserve"> d’exécution (UE) 2025/1257 de la Commission du 26 juin 2025 approuvant la 2-méthyl-2H-isothiazol-3-one (MIT) en tant que substance active existante destinée à être utilisée dans les produits biocides du type 6 conformément au règlement (UE) no 528/2012 du Parlement européen et du Conseil (JOUE 27/06/2025)</w:t>
      </w:r>
    </w:p>
    <w:p w14:paraId="11C07605" w14:textId="77777777" w:rsidR="00E248D4" w:rsidRPr="008B535C" w:rsidRDefault="00E248D4" w:rsidP="008B535C">
      <w:pPr>
        <w:shd w:val="clear" w:color="auto" w:fill="FFFFFF"/>
        <w:spacing w:after="0" w:line="240" w:lineRule="auto"/>
        <w:ind w:left="142"/>
        <w:jc w:val="both"/>
        <w:rPr>
          <w:rFonts w:ascii="Tenorite" w:hAnsi="Tenorite"/>
        </w:rPr>
      </w:pPr>
    </w:p>
    <w:p w14:paraId="1F7C5F15" w14:textId="77777777" w:rsidR="00E248D4" w:rsidRDefault="00E248D4" w:rsidP="008B535C">
      <w:pPr>
        <w:shd w:val="clear" w:color="auto" w:fill="FFFFFF"/>
        <w:spacing w:after="0" w:line="240" w:lineRule="auto"/>
        <w:ind w:left="142"/>
        <w:jc w:val="both"/>
        <w:rPr>
          <w:rFonts w:ascii="Tenorite" w:hAnsi="Tenorite"/>
        </w:rPr>
      </w:pPr>
      <w:hyperlink r:id="rId28" w:history="1">
        <w:r w:rsidRPr="008B535C">
          <w:rPr>
            <w:rStyle w:val="Lienhypertexte"/>
            <w:rFonts w:ascii="Tenorite" w:hAnsi="Tenorite"/>
          </w:rPr>
          <w:t>Règlement</w:t>
        </w:r>
      </w:hyperlink>
      <w:r w:rsidRPr="008B535C">
        <w:rPr>
          <w:rFonts w:ascii="Tenorite" w:hAnsi="Tenorite"/>
        </w:rPr>
        <w:t xml:space="preserve"> d’exécution (UE) 2025/1260 de la Commission du 26 juin 2025 approuvant l’acide peracétique produit à partir d’acétate de 1,3-diacétyloxypropan-2-yle et de peroxyde d’hydrogène en tant que substance active existante destinée à être utilisée dans des produits biocides relevant du type de produits 2, conformément au règlement (UE) no 528/2012 du Parlement européen et du Conseil (JOUE 27/06/2025)</w:t>
      </w:r>
    </w:p>
    <w:p w14:paraId="47150F05" w14:textId="77777777" w:rsidR="008B535C" w:rsidRPr="008B535C" w:rsidRDefault="008B535C" w:rsidP="008B535C">
      <w:pPr>
        <w:shd w:val="clear" w:color="auto" w:fill="FFFFFF"/>
        <w:spacing w:after="0" w:line="240" w:lineRule="auto"/>
        <w:ind w:left="142"/>
        <w:jc w:val="both"/>
        <w:rPr>
          <w:rFonts w:ascii="Tenorite" w:hAnsi="Tenorite"/>
        </w:rPr>
      </w:pPr>
    </w:p>
    <w:p w14:paraId="01586420" w14:textId="77777777" w:rsidR="00E248D4" w:rsidRDefault="00E248D4" w:rsidP="008B535C">
      <w:pPr>
        <w:shd w:val="clear" w:color="auto" w:fill="FFFFFF"/>
        <w:spacing w:after="0" w:line="240" w:lineRule="auto"/>
        <w:ind w:left="142"/>
        <w:jc w:val="both"/>
        <w:rPr>
          <w:rFonts w:ascii="Tenorite" w:hAnsi="Tenorite"/>
        </w:rPr>
      </w:pPr>
      <w:hyperlink r:id="rId29" w:history="1">
        <w:r w:rsidRPr="008B535C">
          <w:rPr>
            <w:rStyle w:val="Lienhypertexte"/>
            <w:rFonts w:ascii="Tenorite" w:hAnsi="Tenorite"/>
          </w:rPr>
          <w:t>Décision</w:t>
        </w:r>
      </w:hyperlink>
      <w:r w:rsidRPr="008B535C">
        <w:rPr>
          <w:rFonts w:ascii="Tenorite" w:hAnsi="Tenorite"/>
        </w:rPr>
        <w:t xml:space="preserve"> d’exécution (UE) 2025/1247 de la Commission du 26 juin 2025 abrogeant la décision d’exécution (UE) 2024/2460 reportant la date d’expiration de l’approbation de la </w:t>
      </w:r>
      <w:proofErr w:type="spellStart"/>
      <w:r w:rsidRPr="008B535C">
        <w:rPr>
          <w:rFonts w:ascii="Tenorite" w:hAnsi="Tenorite"/>
        </w:rPr>
        <w:t>métofluthrine</w:t>
      </w:r>
      <w:proofErr w:type="spellEnd"/>
      <w:r w:rsidRPr="008B535C">
        <w:rPr>
          <w:rFonts w:ascii="Tenorite" w:hAnsi="Tenorite"/>
        </w:rPr>
        <w:t xml:space="preserve"> en vue de son utilisation dans les produits biocides relevant du type de produits 18, conformément au règlement (UE) no 528/2012 du Parlement européen et du Conseil (JOUE 27/06/2025)</w:t>
      </w:r>
    </w:p>
    <w:p w14:paraId="025C8434" w14:textId="77777777" w:rsidR="008B535C" w:rsidRPr="008B535C" w:rsidRDefault="008B535C" w:rsidP="008B535C">
      <w:pPr>
        <w:shd w:val="clear" w:color="auto" w:fill="FFFFFF"/>
        <w:spacing w:after="0" w:line="240" w:lineRule="auto"/>
        <w:ind w:left="142"/>
        <w:jc w:val="both"/>
        <w:rPr>
          <w:rFonts w:ascii="Tenorite" w:hAnsi="Tenorite"/>
        </w:rPr>
      </w:pPr>
    </w:p>
    <w:p w14:paraId="220D3E2B" w14:textId="77777777" w:rsidR="008B535C" w:rsidRDefault="00E248D4" w:rsidP="008B535C">
      <w:pPr>
        <w:shd w:val="clear" w:color="auto" w:fill="FFFFFF"/>
        <w:spacing w:after="0" w:line="240" w:lineRule="auto"/>
        <w:ind w:left="142"/>
        <w:jc w:val="both"/>
        <w:rPr>
          <w:rFonts w:ascii="Tenorite" w:hAnsi="Tenorite"/>
        </w:rPr>
      </w:pPr>
      <w:hyperlink r:id="rId30" w:history="1">
        <w:r w:rsidRPr="008B535C">
          <w:rPr>
            <w:rStyle w:val="Lienhypertexte"/>
            <w:rFonts w:ascii="Tenorite" w:hAnsi="Tenorite"/>
          </w:rPr>
          <w:t>Règlement</w:t>
        </w:r>
      </w:hyperlink>
      <w:r w:rsidRPr="008B535C">
        <w:rPr>
          <w:rFonts w:ascii="Tenorite" w:hAnsi="Tenorite"/>
        </w:rPr>
        <w:t xml:space="preserve"> d’exécution (UE) 2025/1138 de la Commission du 10 juin 2025 octroyant une autorisation de l’Union pour la famille de produits biocides dénommée </w:t>
      </w:r>
      <w:proofErr w:type="spellStart"/>
      <w:r w:rsidRPr="008B535C">
        <w:rPr>
          <w:rFonts w:ascii="Tenorite" w:hAnsi="Tenorite"/>
        </w:rPr>
        <w:t>Tevan</w:t>
      </w:r>
      <w:proofErr w:type="spellEnd"/>
      <w:r w:rsidRPr="008B535C">
        <w:rPr>
          <w:rFonts w:ascii="Tenorite" w:hAnsi="Tenorite"/>
        </w:rPr>
        <w:t xml:space="preserve"> </w:t>
      </w:r>
      <w:proofErr w:type="spellStart"/>
      <w:r w:rsidRPr="008B535C">
        <w:rPr>
          <w:rFonts w:ascii="Tenorite" w:hAnsi="Tenorite"/>
        </w:rPr>
        <w:t>Panox</w:t>
      </w:r>
      <w:proofErr w:type="spellEnd"/>
      <w:r w:rsidRPr="008B535C">
        <w:rPr>
          <w:rFonts w:ascii="Tenorite" w:hAnsi="Tenorite"/>
        </w:rPr>
        <w:t xml:space="preserve"> Family conformément au règlement (UE) no 528/2012 du Parlement européen et du Conseil (JOUE 30/06/2025)</w:t>
      </w:r>
    </w:p>
    <w:p w14:paraId="1F19E875" w14:textId="77777777" w:rsidR="002B7CB6" w:rsidRPr="005F3EA3" w:rsidRDefault="002B7CB6" w:rsidP="002B7CB6">
      <w:pPr>
        <w:spacing w:after="0" w:line="240" w:lineRule="auto"/>
        <w:ind w:left="284" w:hanging="142"/>
        <w:rPr>
          <w:rFonts w:ascii="Tenorite" w:eastAsia="MS Gothic" w:hAnsi="Tenorite" w:cs="Segoe UI Symbol"/>
          <w:b/>
          <w:sz w:val="28"/>
        </w:rPr>
      </w:pPr>
    </w:p>
    <w:p w14:paraId="3FF793B7" w14:textId="77777777"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55AD8A12"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16529F85" w14:textId="77777777" w:rsidR="00DF6016" w:rsidRPr="008B535C" w:rsidRDefault="00DF6016" w:rsidP="008B535C">
      <w:pPr>
        <w:pStyle w:val="Textebrut"/>
        <w:ind w:left="142"/>
        <w:jc w:val="both"/>
        <w:rPr>
          <w:rFonts w:ascii="Tenorite" w:hAnsi="Tenorite" w:cstheme="minorHAnsi"/>
          <w:szCs w:val="22"/>
        </w:rPr>
      </w:pPr>
      <w:hyperlink r:id="rId31" w:tgtFrame="_blank" w:history="1">
        <w:r w:rsidRPr="008B535C">
          <w:rPr>
            <w:rStyle w:val="Lienhypertexte"/>
            <w:rFonts w:ascii="Tenorite" w:hAnsi="Tenorite"/>
            <w:szCs w:val="22"/>
          </w:rPr>
          <w:t>Avis</w:t>
        </w:r>
        <w:r w:rsidRPr="008B535C">
          <w:rPr>
            <w:rFonts w:ascii="Tenorite" w:hAnsi="Tenorite" w:cstheme="minorHAnsi"/>
            <w:szCs w:val="22"/>
          </w:rPr>
          <w:t xml:space="preserve"> relatif à l’examen du classement de la pertinence pour le métabolite acide </w:t>
        </w:r>
        <w:proofErr w:type="spellStart"/>
        <w:r w:rsidRPr="008B535C">
          <w:rPr>
            <w:rFonts w:ascii="Tenorite" w:hAnsi="Tenorite" w:cstheme="minorHAnsi"/>
            <w:szCs w:val="22"/>
          </w:rPr>
          <w:t>aminométhylphosphonique</w:t>
        </w:r>
        <w:proofErr w:type="spellEnd"/>
        <w:r w:rsidRPr="008B535C">
          <w:rPr>
            <w:rFonts w:ascii="Tenorite" w:hAnsi="Tenorite" w:cstheme="minorHAnsi"/>
            <w:szCs w:val="22"/>
          </w:rPr>
          <w:t xml:space="preserve"> (AMPA) du glyphosate dans les eaux destinées à la consommation humaine</w:t>
        </w:r>
      </w:hyperlink>
      <w:r w:rsidRPr="008B535C">
        <w:rPr>
          <w:rFonts w:ascii="Tenorite" w:hAnsi="Tenorite" w:cstheme="minorHAnsi"/>
          <w:szCs w:val="22"/>
        </w:rPr>
        <w:t xml:space="preserve"> – avis signé le 05/06/2025</w:t>
      </w:r>
    </w:p>
    <w:p w14:paraId="7ABE6A2F" w14:textId="77777777" w:rsidR="00DF6016" w:rsidRPr="008B535C" w:rsidRDefault="00DF6016" w:rsidP="008B535C">
      <w:pPr>
        <w:pStyle w:val="Textebrut"/>
        <w:ind w:left="142"/>
        <w:jc w:val="both"/>
        <w:rPr>
          <w:rFonts w:ascii="Tenorite" w:hAnsi="Tenorite" w:cstheme="minorHAnsi"/>
          <w:szCs w:val="22"/>
        </w:rPr>
      </w:pPr>
    </w:p>
    <w:p w14:paraId="75FC881B" w14:textId="77777777" w:rsidR="00DF6016" w:rsidRPr="008B535C" w:rsidRDefault="00DF6016" w:rsidP="008B535C">
      <w:pPr>
        <w:pStyle w:val="Textebrut"/>
        <w:ind w:left="142"/>
        <w:jc w:val="both"/>
        <w:rPr>
          <w:rFonts w:ascii="Tenorite" w:hAnsi="Tenorite" w:cstheme="minorHAnsi"/>
          <w:szCs w:val="22"/>
        </w:rPr>
      </w:pPr>
      <w:hyperlink r:id="rId32" w:tgtFrame="_blank" w:history="1">
        <w:r w:rsidRPr="008B535C">
          <w:rPr>
            <w:rStyle w:val="Lienhypertexte"/>
            <w:rFonts w:ascii="Tenorite" w:hAnsi="Tenorite"/>
            <w:szCs w:val="22"/>
          </w:rPr>
          <w:t xml:space="preserve">Avis </w:t>
        </w:r>
        <w:r w:rsidRPr="008B535C">
          <w:rPr>
            <w:rFonts w:ascii="Tenorite" w:hAnsi="Tenorite" w:cstheme="minorHAnsi"/>
            <w:szCs w:val="22"/>
          </w:rPr>
          <w:t>relatif à « l’établissement d’une limite maximale de résidus (LMR) nationale dans le cadre de l’article 18 paragraphe 4 du règlement (CE) n°396/2005 pour la deltaméthrine sur kiwi »</w:t>
        </w:r>
      </w:hyperlink>
      <w:r w:rsidRPr="008B535C">
        <w:rPr>
          <w:rFonts w:ascii="Tenorite" w:hAnsi="Tenorite" w:cstheme="minorHAnsi"/>
          <w:szCs w:val="22"/>
        </w:rPr>
        <w:t xml:space="preserve"> - avis signé le 13/05/2025</w:t>
      </w:r>
    </w:p>
    <w:p w14:paraId="73FE5789" w14:textId="77777777" w:rsidR="00DF6016" w:rsidRPr="008B535C" w:rsidRDefault="00DF6016" w:rsidP="008B535C">
      <w:pPr>
        <w:pStyle w:val="Textebrut"/>
        <w:ind w:left="142"/>
        <w:jc w:val="both"/>
        <w:rPr>
          <w:rFonts w:ascii="Tenorite" w:hAnsi="Tenorite"/>
          <w:szCs w:val="22"/>
        </w:rPr>
      </w:pPr>
    </w:p>
    <w:p w14:paraId="213A5D24" w14:textId="77777777" w:rsidR="008B535C" w:rsidRDefault="00DF6016" w:rsidP="008B535C">
      <w:pPr>
        <w:pStyle w:val="Textebrut"/>
        <w:ind w:left="142"/>
        <w:jc w:val="both"/>
        <w:rPr>
          <w:rFonts w:ascii="Tenorite" w:hAnsi="Tenorite"/>
          <w:szCs w:val="22"/>
        </w:rPr>
      </w:pPr>
      <w:hyperlink r:id="rId33" w:history="1">
        <w:r w:rsidRPr="008B535C">
          <w:rPr>
            <w:rStyle w:val="Lienhypertexte"/>
            <w:rFonts w:ascii="Tenorite" w:hAnsi="Tenorite"/>
            <w:szCs w:val="22"/>
          </w:rPr>
          <w:t>Arrêté</w:t>
        </w:r>
      </w:hyperlink>
      <w:r w:rsidRPr="008B535C">
        <w:rPr>
          <w:rFonts w:ascii="Tenorite" w:hAnsi="Tenorite"/>
          <w:szCs w:val="22"/>
        </w:rPr>
        <w:t xml:space="preserve"> du 5 juin 2025 relatif à l'établissement d'une limite maximale de résidus de deltaméthrine sur les kiwis mis sur le marché français (JORF 13/06/2025)</w:t>
      </w:r>
    </w:p>
    <w:p w14:paraId="7F7119FA" w14:textId="5713E6B9" w:rsidR="00DF6016" w:rsidRPr="008B535C" w:rsidRDefault="00DF6016" w:rsidP="008B535C">
      <w:pPr>
        <w:pStyle w:val="Textebrut"/>
        <w:ind w:left="142"/>
        <w:jc w:val="both"/>
        <w:rPr>
          <w:rFonts w:ascii="Tenorite" w:hAnsi="Tenorite"/>
          <w:szCs w:val="22"/>
        </w:rPr>
      </w:pPr>
    </w:p>
    <w:p w14:paraId="29E305D3" w14:textId="77777777" w:rsidR="008B535C" w:rsidRDefault="00DF6016" w:rsidP="008B535C">
      <w:pPr>
        <w:pStyle w:val="Textebrut"/>
        <w:ind w:left="142"/>
        <w:jc w:val="both"/>
        <w:rPr>
          <w:rFonts w:ascii="Tenorite" w:hAnsi="Tenorite"/>
          <w:szCs w:val="22"/>
        </w:rPr>
      </w:pPr>
      <w:hyperlink r:id="rId34" w:history="1">
        <w:r w:rsidRPr="008B535C">
          <w:rPr>
            <w:rStyle w:val="Lienhypertexte"/>
            <w:rFonts w:ascii="Tenorite" w:hAnsi="Tenorite"/>
            <w:szCs w:val="22"/>
          </w:rPr>
          <w:t>Règlement</w:t>
        </w:r>
      </w:hyperlink>
      <w:r w:rsidRPr="008B535C">
        <w:rPr>
          <w:rFonts w:ascii="Tenorite" w:hAnsi="Tenorite"/>
          <w:szCs w:val="22"/>
        </w:rPr>
        <w:t xml:space="preserve"> (UE) 2025/1163 de la Commission du 13 juin 2025 modifiant les annexes II, III et V du règlement (CE) no 396/2005 du Parlement européen et du Conseil en ce qui concerne les limites maximales applicables aux résidus de chlorprophame, de </w:t>
      </w:r>
      <w:proofErr w:type="spellStart"/>
      <w:r w:rsidRPr="008B535C">
        <w:rPr>
          <w:rFonts w:ascii="Tenorite" w:hAnsi="Tenorite"/>
          <w:szCs w:val="22"/>
        </w:rPr>
        <w:t>fuberidazole</w:t>
      </w:r>
      <w:proofErr w:type="spellEnd"/>
      <w:r w:rsidRPr="008B535C">
        <w:rPr>
          <w:rFonts w:ascii="Tenorite" w:hAnsi="Tenorite"/>
          <w:szCs w:val="22"/>
        </w:rPr>
        <w:t>, d’</w:t>
      </w:r>
      <w:proofErr w:type="spellStart"/>
      <w:r w:rsidRPr="008B535C">
        <w:rPr>
          <w:rFonts w:ascii="Tenorite" w:hAnsi="Tenorite"/>
          <w:szCs w:val="22"/>
        </w:rPr>
        <w:t>ipconazole</w:t>
      </w:r>
      <w:proofErr w:type="spellEnd"/>
      <w:r w:rsidRPr="008B535C">
        <w:rPr>
          <w:rFonts w:ascii="Tenorite" w:hAnsi="Tenorite"/>
          <w:szCs w:val="22"/>
        </w:rPr>
        <w:t xml:space="preserve">, de </w:t>
      </w:r>
      <w:proofErr w:type="spellStart"/>
      <w:r w:rsidRPr="008B535C">
        <w:rPr>
          <w:rFonts w:ascii="Tenorite" w:hAnsi="Tenorite"/>
          <w:szCs w:val="22"/>
        </w:rPr>
        <w:t>méthoxyfénozide</w:t>
      </w:r>
      <w:proofErr w:type="spellEnd"/>
      <w:r w:rsidRPr="008B535C">
        <w:rPr>
          <w:rFonts w:ascii="Tenorite" w:hAnsi="Tenorite"/>
          <w:szCs w:val="22"/>
        </w:rPr>
        <w:t xml:space="preserve">, de S-métolachlore et de </w:t>
      </w:r>
      <w:proofErr w:type="spellStart"/>
      <w:r w:rsidRPr="008B535C">
        <w:rPr>
          <w:rFonts w:ascii="Tenorite" w:hAnsi="Tenorite"/>
          <w:szCs w:val="22"/>
        </w:rPr>
        <w:t>triflusulfuron</w:t>
      </w:r>
      <w:proofErr w:type="spellEnd"/>
      <w:r w:rsidRPr="008B535C">
        <w:rPr>
          <w:rFonts w:ascii="Tenorite" w:hAnsi="Tenorite"/>
          <w:szCs w:val="22"/>
        </w:rPr>
        <w:t xml:space="preserve"> présents dans ou sur certains produits (JOUE 16/06/2025)</w:t>
      </w:r>
    </w:p>
    <w:p w14:paraId="29A4D71F" w14:textId="0563315E" w:rsidR="00DF6016" w:rsidRPr="008B535C" w:rsidRDefault="00DF6016" w:rsidP="008B535C">
      <w:pPr>
        <w:pStyle w:val="Textebrut"/>
        <w:ind w:left="142"/>
        <w:jc w:val="both"/>
        <w:rPr>
          <w:rFonts w:ascii="Tenorite" w:hAnsi="Tenorite"/>
          <w:szCs w:val="22"/>
        </w:rPr>
      </w:pPr>
    </w:p>
    <w:p w14:paraId="33DD905C" w14:textId="77777777" w:rsidR="00DF6016" w:rsidRPr="008B535C" w:rsidRDefault="00DF6016" w:rsidP="008B535C">
      <w:pPr>
        <w:pStyle w:val="Textebrut"/>
        <w:ind w:left="142"/>
        <w:jc w:val="both"/>
        <w:rPr>
          <w:rFonts w:ascii="Tenorite" w:hAnsi="Tenorite"/>
          <w:szCs w:val="22"/>
        </w:rPr>
      </w:pPr>
      <w:hyperlink r:id="rId35" w:history="1">
        <w:r w:rsidRPr="008B535C">
          <w:rPr>
            <w:rStyle w:val="Lienhypertexte"/>
            <w:rFonts w:ascii="Tenorite" w:hAnsi="Tenorite"/>
            <w:szCs w:val="22"/>
          </w:rPr>
          <w:t>Règlement</w:t>
        </w:r>
      </w:hyperlink>
      <w:r w:rsidRPr="008B535C">
        <w:rPr>
          <w:rFonts w:ascii="Tenorite" w:hAnsi="Tenorite"/>
          <w:szCs w:val="22"/>
        </w:rPr>
        <w:t xml:space="preserve"> (UE) 2025/1164 de la Commission du 13 juin 2025 modifiant les annexes II et III du règlement (CE) no 396/2005 du Parlement européen et du Conseil en ce qui concerne les limites maximales applicables aux résidus de </w:t>
      </w:r>
      <w:proofErr w:type="spellStart"/>
      <w:r w:rsidRPr="008B535C">
        <w:rPr>
          <w:rFonts w:ascii="Tenorite" w:hAnsi="Tenorite"/>
          <w:szCs w:val="22"/>
        </w:rPr>
        <w:t>cyantraniliprole</w:t>
      </w:r>
      <w:proofErr w:type="spellEnd"/>
      <w:r w:rsidRPr="008B535C">
        <w:rPr>
          <w:rFonts w:ascii="Tenorite" w:hAnsi="Tenorite"/>
          <w:szCs w:val="22"/>
        </w:rPr>
        <w:t xml:space="preserve">, de </w:t>
      </w:r>
      <w:proofErr w:type="spellStart"/>
      <w:r w:rsidRPr="008B535C">
        <w:rPr>
          <w:rFonts w:ascii="Tenorite" w:hAnsi="Tenorite"/>
          <w:szCs w:val="22"/>
        </w:rPr>
        <w:t>cyflumétofène</w:t>
      </w:r>
      <w:proofErr w:type="spellEnd"/>
      <w:r w:rsidRPr="008B535C">
        <w:rPr>
          <w:rFonts w:ascii="Tenorite" w:hAnsi="Tenorite"/>
          <w:szCs w:val="22"/>
        </w:rPr>
        <w:t xml:space="preserve">, de deltaméthrine, de </w:t>
      </w:r>
      <w:proofErr w:type="spellStart"/>
      <w:r w:rsidRPr="008B535C">
        <w:rPr>
          <w:rFonts w:ascii="Tenorite" w:hAnsi="Tenorite"/>
          <w:szCs w:val="22"/>
        </w:rPr>
        <w:t>méfentrifluconazole</w:t>
      </w:r>
      <w:proofErr w:type="spellEnd"/>
      <w:r w:rsidRPr="008B535C">
        <w:rPr>
          <w:rFonts w:ascii="Tenorite" w:hAnsi="Tenorite"/>
          <w:szCs w:val="22"/>
        </w:rPr>
        <w:t xml:space="preserve">, de </w:t>
      </w:r>
      <w:proofErr w:type="spellStart"/>
      <w:r w:rsidRPr="008B535C">
        <w:rPr>
          <w:rFonts w:ascii="Tenorite" w:hAnsi="Tenorite"/>
          <w:szCs w:val="22"/>
        </w:rPr>
        <w:t>mépiquat</w:t>
      </w:r>
      <w:proofErr w:type="spellEnd"/>
      <w:r w:rsidRPr="008B535C">
        <w:rPr>
          <w:rFonts w:ascii="Tenorite" w:hAnsi="Tenorite"/>
          <w:szCs w:val="22"/>
        </w:rPr>
        <w:t xml:space="preserve"> et d’</w:t>
      </w:r>
      <w:proofErr w:type="spellStart"/>
      <w:r w:rsidRPr="008B535C">
        <w:rPr>
          <w:rFonts w:ascii="Tenorite" w:hAnsi="Tenorite"/>
          <w:szCs w:val="22"/>
        </w:rPr>
        <w:t>oxathiapiproline</w:t>
      </w:r>
      <w:proofErr w:type="spellEnd"/>
      <w:r w:rsidRPr="008B535C">
        <w:rPr>
          <w:rFonts w:ascii="Tenorite" w:hAnsi="Tenorite"/>
          <w:szCs w:val="22"/>
        </w:rPr>
        <w:t xml:space="preserve"> présents dans ou sur certains produits (JOUE 16/06/2025)</w:t>
      </w:r>
    </w:p>
    <w:p w14:paraId="6620E088" w14:textId="77777777" w:rsidR="00DF6016" w:rsidRDefault="00DF6016" w:rsidP="002B7CB6">
      <w:pPr>
        <w:spacing w:after="0" w:line="240" w:lineRule="auto"/>
        <w:ind w:left="284" w:hanging="142"/>
        <w:rPr>
          <w:rFonts w:ascii="Tenorite" w:hAnsi="Tenorite"/>
          <w:color w:val="C45911" w:themeColor="accent2" w:themeShade="BF"/>
          <w:sz w:val="20"/>
        </w:rPr>
      </w:pPr>
    </w:p>
    <w:p w14:paraId="3126F840"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Autres contaminants</w:t>
      </w:r>
    </w:p>
    <w:p w14:paraId="68B49ACD" w14:textId="77777777" w:rsidR="008B535C" w:rsidRDefault="008B535C" w:rsidP="008B535C">
      <w:pPr>
        <w:spacing w:after="0" w:line="240" w:lineRule="auto"/>
        <w:ind w:left="142"/>
        <w:jc w:val="both"/>
        <w:rPr>
          <w:rFonts w:ascii="Tenorite" w:hAnsi="Tenorite"/>
          <w:color w:val="333333"/>
          <w:shd w:val="clear" w:color="auto" w:fill="FFFFFF"/>
        </w:rPr>
      </w:pPr>
      <w:hyperlink r:id="rId36" w:history="1">
        <w:r w:rsidRPr="008B535C">
          <w:rPr>
            <w:rStyle w:val="Lienhypertexte"/>
            <w:rFonts w:ascii="Tenorite" w:hAnsi="Tenorite"/>
            <w:shd w:val="clear" w:color="auto" w:fill="FFFFFF"/>
          </w:rPr>
          <w:t>Règlement</w:t>
        </w:r>
      </w:hyperlink>
      <w:r w:rsidRPr="008B535C">
        <w:rPr>
          <w:rFonts w:ascii="Tenorite" w:hAnsi="Tenorite"/>
          <w:color w:val="333333"/>
          <w:shd w:val="clear" w:color="auto" w:fill="FFFFFF"/>
        </w:rPr>
        <w:t xml:space="preserve"> délégué (UE) 2025/718 de la Commission du 14 avril 2025 modifiant le règlement (UE) 2019/1021 du Parlement européen et du Conseil en ce qui concerne l’acide </w:t>
      </w:r>
      <w:proofErr w:type="spellStart"/>
      <w:r w:rsidRPr="008B535C">
        <w:rPr>
          <w:rFonts w:ascii="Tenorite" w:hAnsi="Tenorite"/>
          <w:color w:val="333333"/>
          <w:shd w:val="clear" w:color="auto" w:fill="FFFFFF"/>
        </w:rPr>
        <w:t>perfluorooctane</w:t>
      </w:r>
      <w:proofErr w:type="spellEnd"/>
      <w:r w:rsidRPr="008B535C">
        <w:rPr>
          <w:rFonts w:ascii="Tenorite" w:hAnsi="Tenorite"/>
          <w:color w:val="333333"/>
          <w:shd w:val="clear" w:color="auto" w:fill="FFFFFF"/>
        </w:rPr>
        <w:t xml:space="preserve"> sulfonique et ses dérivés (JOUE 27/06/2025)</w:t>
      </w:r>
    </w:p>
    <w:p w14:paraId="48351C6B" w14:textId="77777777" w:rsidR="008B535C" w:rsidRPr="008B535C" w:rsidRDefault="008B535C" w:rsidP="008B535C">
      <w:pPr>
        <w:spacing w:after="0" w:line="240" w:lineRule="auto"/>
        <w:ind w:left="142"/>
        <w:jc w:val="both"/>
        <w:rPr>
          <w:rFonts w:ascii="Tenorite" w:hAnsi="Tenorite"/>
          <w:color w:val="333333"/>
          <w:shd w:val="clear" w:color="auto" w:fill="FFFFFF"/>
        </w:rPr>
      </w:pPr>
    </w:p>
    <w:p w14:paraId="2C1310CC" w14:textId="77777777" w:rsidR="00DF6016" w:rsidRPr="008B535C" w:rsidRDefault="00DF6016" w:rsidP="008B535C">
      <w:pPr>
        <w:pStyle w:val="Textebrut"/>
        <w:ind w:left="142"/>
        <w:jc w:val="both"/>
        <w:rPr>
          <w:rFonts w:ascii="Tenorite" w:hAnsi="Tenorite" w:cstheme="minorHAnsi"/>
        </w:rPr>
      </w:pPr>
      <w:hyperlink r:id="rId37" w:tgtFrame="_blank" w:history="1">
        <w:r w:rsidRPr="008B535C">
          <w:rPr>
            <w:rStyle w:val="Lienhypertexte"/>
            <w:rFonts w:ascii="Tenorite" w:hAnsi="Tenorite"/>
          </w:rPr>
          <w:t>Avis</w:t>
        </w:r>
        <w:r w:rsidRPr="008B535C">
          <w:rPr>
            <w:rFonts w:ascii="Tenorite" w:hAnsi="Tenorite" w:cstheme="minorHAnsi"/>
          </w:rPr>
          <w:t xml:space="preserve"> et rapport relatif à l’« exploitation des données issues de la déclaration annuelle des substances à l’état nanoparticulaire »</w:t>
        </w:r>
      </w:hyperlink>
      <w:r w:rsidRPr="008B535C">
        <w:rPr>
          <w:rFonts w:ascii="Tenorite" w:hAnsi="Tenorite" w:cstheme="minorHAnsi"/>
        </w:rPr>
        <w:t xml:space="preserve"> - avis signé le 16/06/2025</w:t>
      </w:r>
    </w:p>
    <w:p w14:paraId="3F0E7289" w14:textId="77777777" w:rsidR="005F3EA3" w:rsidRDefault="005F3EA3" w:rsidP="002B7CB6">
      <w:pPr>
        <w:spacing w:after="0" w:line="240" w:lineRule="auto"/>
        <w:ind w:left="284" w:hanging="142"/>
        <w:rPr>
          <w:rFonts w:ascii="Tenorite" w:eastAsia="MS Gothic" w:hAnsi="Tenorite" w:cs="Segoe UI Symbol"/>
          <w:b/>
          <w:sz w:val="28"/>
        </w:rPr>
      </w:pPr>
    </w:p>
    <w:p w14:paraId="578DA752" w14:textId="77777777" w:rsidR="008B535C" w:rsidRPr="008B535C" w:rsidRDefault="008B535C" w:rsidP="008B535C">
      <w:pPr>
        <w:pStyle w:val="Textebrut"/>
        <w:ind w:left="142"/>
        <w:jc w:val="both"/>
        <w:rPr>
          <w:rFonts w:ascii="Tenorite" w:hAnsi="Tenorite"/>
          <w:szCs w:val="22"/>
        </w:rPr>
      </w:pPr>
      <w:hyperlink r:id="rId38" w:history="1">
        <w:r w:rsidRPr="008B535C">
          <w:rPr>
            <w:rStyle w:val="Lienhypertexte"/>
            <w:rFonts w:ascii="Tenorite" w:hAnsi="Tenorite"/>
            <w:szCs w:val="22"/>
          </w:rPr>
          <w:t>Règlement</w:t>
        </w:r>
      </w:hyperlink>
      <w:r w:rsidRPr="008B535C">
        <w:rPr>
          <w:rFonts w:ascii="Tenorite" w:hAnsi="Tenorite"/>
          <w:szCs w:val="22"/>
        </w:rPr>
        <w:t xml:space="preserve"> d’exécution (UE) 2025/1102 de la Commission du 3 juin 2025 modifiant le règlement (UE) no 37/2010 en ce qui concerne les substances biologiques non assimilables à une substance chimique (JOUE 04/06/2025)</w:t>
      </w:r>
    </w:p>
    <w:p w14:paraId="7058E70D" w14:textId="77777777" w:rsidR="008B535C" w:rsidRPr="008B535C" w:rsidRDefault="008B535C" w:rsidP="008B535C">
      <w:pPr>
        <w:pStyle w:val="Textebrut"/>
        <w:ind w:left="142"/>
        <w:jc w:val="both"/>
        <w:rPr>
          <w:rFonts w:ascii="Tenorite" w:hAnsi="Tenorite"/>
          <w:szCs w:val="22"/>
        </w:rPr>
      </w:pPr>
    </w:p>
    <w:p w14:paraId="1DA4DE01" w14:textId="77777777" w:rsidR="008B535C" w:rsidRPr="008B535C" w:rsidRDefault="008B535C" w:rsidP="008B535C">
      <w:pPr>
        <w:pStyle w:val="Textebrut"/>
        <w:ind w:left="142"/>
        <w:jc w:val="both"/>
        <w:rPr>
          <w:rFonts w:ascii="Tenorite" w:hAnsi="Tenorite"/>
          <w:szCs w:val="22"/>
        </w:rPr>
      </w:pPr>
      <w:hyperlink r:id="rId39" w:history="1">
        <w:r w:rsidRPr="008B535C">
          <w:rPr>
            <w:rStyle w:val="Lienhypertexte"/>
            <w:rFonts w:ascii="Tenorite" w:hAnsi="Tenorite"/>
            <w:szCs w:val="22"/>
          </w:rPr>
          <w:t>Règlement</w:t>
        </w:r>
      </w:hyperlink>
      <w:r w:rsidRPr="008B535C">
        <w:rPr>
          <w:rFonts w:ascii="Tenorite" w:hAnsi="Tenorite"/>
          <w:szCs w:val="22"/>
        </w:rPr>
        <w:t xml:space="preserve"> d’exécution (UE) 2025/1105 de la Commission du 3 juin 2025 modifiant le règlement (UE) no 37/2010 en ce qui concerne la classification de la substance kétoprofène et sa limite maximale de résidus dans les aliments d’origine animale (JOUE 04/06/2025)</w:t>
      </w:r>
    </w:p>
    <w:p w14:paraId="77382ED8" w14:textId="77777777" w:rsidR="008B535C" w:rsidRPr="008B535C" w:rsidRDefault="008B535C" w:rsidP="008B535C">
      <w:pPr>
        <w:pStyle w:val="Textebrut"/>
        <w:ind w:left="142"/>
        <w:jc w:val="both"/>
        <w:rPr>
          <w:rFonts w:ascii="Tenorite" w:hAnsi="Tenorite"/>
          <w:szCs w:val="22"/>
        </w:rPr>
      </w:pPr>
      <w:hyperlink r:id="rId40" w:history="1">
        <w:r w:rsidRPr="008B535C">
          <w:rPr>
            <w:rStyle w:val="Lienhypertexte"/>
            <w:rFonts w:ascii="Tenorite" w:hAnsi="Tenorite"/>
            <w:szCs w:val="22"/>
          </w:rPr>
          <w:t>Règlement</w:t>
        </w:r>
      </w:hyperlink>
      <w:r w:rsidRPr="008B535C">
        <w:rPr>
          <w:rFonts w:ascii="Tenorite" w:hAnsi="Tenorite"/>
          <w:szCs w:val="22"/>
        </w:rPr>
        <w:t xml:space="preserve"> d’exécution (UE) 2025/1103 de la Commission du 3 juin 2025 modifiant le règlement d’exécution (UE) 2017/12 en ce qui concerne les exigences applicables aux demandes d’établissement d’une classification Aucune LMR requise pour les substances biologiques non assimilables à une substance chimique (JOUE 04/06/2025)</w:t>
      </w:r>
    </w:p>
    <w:p w14:paraId="53073BCA" w14:textId="77777777" w:rsidR="008B535C" w:rsidRPr="005F3EA3" w:rsidRDefault="008B535C" w:rsidP="002B7CB6">
      <w:pPr>
        <w:spacing w:after="0" w:line="240" w:lineRule="auto"/>
        <w:ind w:left="284" w:hanging="142"/>
        <w:rPr>
          <w:rFonts w:ascii="Tenorite" w:eastAsia="MS Gothic" w:hAnsi="Tenorite" w:cs="Segoe UI Symbol"/>
          <w:b/>
          <w:sz w:val="28"/>
        </w:rPr>
      </w:pPr>
    </w:p>
    <w:p w14:paraId="284CCFF5"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4EE31875" w14:textId="604AEBE8" w:rsidR="00767DBA" w:rsidRPr="005F3EA3" w:rsidRDefault="00DE7068" w:rsidP="002F17D1">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792E2D12" w14:textId="77777777" w:rsidR="002F17D1" w:rsidRPr="005F3EA3" w:rsidRDefault="002F17D1" w:rsidP="002F17D1">
      <w:pPr>
        <w:spacing w:after="0" w:line="240" w:lineRule="auto"/>
        <w:ind w:left="142"/>
        <w:rPr>
          <w:rFonts w:ascii="Tenorite" w:hAnsi="Tenorite"/>
          <w:color w:val="C45911" w:themeColor="accent2" w:themeShade="BF"/>
          <w:sz w:val="20"/>
        </w:rPr>
      </w:pPr>
    </w:p>
    <w:p w14:paraId="7B84134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4A56B8F9" w14:textId="77777777" w:rsidR="00767DBA" w:rsidRDefault="00767DBA" w:rsidP="001B42BB">
      <w:pPr>
        <w:spacing w:after="0" w:line="240" w:lineRule="auto"/>
        <w:ind w:left="284" w:hanging="142"/>
        <w:rPr>
          <w:rFonts w:ascii="Tenorite" w:hAnsi="Tenorite"/>
          <w:color w:val="C45911" w:themeColor="accent2" w:themeShade="BF"/>
          <w:sz w:val="20"/>
        </w:rPr>
      </w:pPr>
      <w:proofErr w:type="spellStart"/>
      <w:r>
        <w:rPr>
          <w:rFonts w:ascii="Tenorite" w:hAnsi="Tenorite"/>
          <w:color w:val="C45911" w:themeColor="accent2" w:themeShade="BF"/>
          <w:sz w:val="20"/>
        </w:rPr>
        <w:lastRenderedPageBreak/>
        <w:t>BuSCA</w:t>
      </w:r>
      <w:proofErr w:type="spellEnd"/>
    </w:p>
    <w:p w14:paraId="07482645" w14:textId="77777777" w:rsidR="008B535C" w:rsidRDefault="00DF6016" w:rsidP="008B535C">
      <w:pPr>
        <w:adjustRightInd w:val="0"/>
        <w:ind w:left="142"/>
        <w:jc w:val="both"/>
        <w:rPr>
          <w:rFonts w:ascii="Tenorite" w:hAnsi="Tenorite"/>
        </w:rPr>
      </w:pPr>
      <w:hyperlink r:id="rId41" w:history="1">
        <w:proofErr w:type="spellStart"/>
        <w:r w:rsidRPr="008B535C">
          <w:rPr>
            <w:rStyle w:val="Lienhypertexte"/>
            <w:rFonts w:ascii="Tenorite" w:hAnsi="Tenorite"/>
          </w:rPr>
          <w:t>BuSCA</w:t>
        </w:r>
        <w:proofErr w:type="spellEnd"/>
        <w:r w:rsidRPr="008B535C">
          <w:rPr>
            <w:rStyle w:val="Lienhypertexte"/>
            <w:rFonts w:ascii="Tenorite" w:hAnsi="Tenorite"/>
          </w:rPr>
          <w:t xml:space="preserve"> n°135</w:t>
        </w:r>
      </w:hyperlink>
      <w:r w:rsidRPr="008B535C">
        <w:rPr>
          <w:rFonts w:ascii="Tenorite" w:hAnsi="Tenorite"/>
        </w:rPr>
        <w:t>– 13 juin 2025, Plateforme de surveillance de la chaîne alimentaire</w:t>
      </w:r>
    </w:p>
    <w:p w14:paraId="285EDFC7" w14:textId="4C827BBF" w:rsidR="00DF6016" w:rsidRPr="008B535C" w:rsidRDefault="00DF6016" w:rsidP="008B535C">
      <w:pPr>
        <w:adjustRightInd w:val="0"/>
        <w:ind w:left="142"/>
        <w:jc w:val="both"/>
        <w:rPr>
          <w:rFonts w:ascii="Tenorite" w:hAnsi="Tenorite"/>
        </w:rPr>
      </w:pPr>
      <w:hyperlink r:id="rId42" w:history="1">
        <w:proofErr w:type="spellStart"/>
        <w:r w:rsidRPr="008B535C">
          <w:rPr>
            <w:rStyle w:val="Lienhypertexte"/>
            <w:rFonts w:ascii="Tenorite" w:hAnsi="Tenorite"/>
          </w:rPr>
          <w:t>BuSCA</w:t>
        </w:r>
        <w:proofErr w:type="spellEnd"/>
        <w:r w:rsidRPr="008B535C">
          <w:rPr>
            <w:rStyle w:val="Lienhypertexte"/>
            <w:rFonts w:ascii="Tenorite" w:hAnsi="Tenorite"/>
          </w:rPr>
          <w:t xml:space="preserve"> n°136</w:t>
        </w:r>
      </w:hyperlink>
      <w:r w:rsidRPr="008B535C">
        <w:rPr>
          <w:rFonts w:ascii="Tenorite" w:hAnsi="Tenorite"/>
        </w:rPr>
        <w:t>- 26 juin 2025, Plateforme de surveillance de la chaîne alimentaire</w:t>
      </w:r>
    </w:p>
    <w:p w14:paraId="1CC934C6" w14:textId="77777777" w:rsidR="001B42BB"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Dangers biologiques /microbiologiques</w:t>
      </w:r>
    </w:p>
    <w:p w14:paraId="39B0E5FC" w14:textId="77777777" w:rsidR="00DF6016" w:rsidRPr="008B535C" w:rsidRDefault="00DF6016" w:rsidP="008B535C">
      <w:pPr>
        <w:shd w:val="clear" w:color="auto" w:fill="FFFFFF"/>
        <w:ind w:left="142"/>
        <w:jc w:val="both"/>
        <w:outlineLvl w:val="2"/>
        <w:rPr>
          <w:rFonts w:ascii="Tenorite" w:hAnsi="Tenorite" w:cstheme="minorHAnsi"/>
        </w:rPr>
      </w:pPr>
      <w:hyperlink r:id="rId43" w:tgtFrame="_blank" w:history="1">
        <w:r w:rsidRPr="008B535C">
          <w:rPr>
            <w:rStyle w:val="Lienhypertexte"/>
            <w:rFonts w:ascii="Tenorite" w:hAnsi="Tenorite" w:cstheme="minorHAnsi"/>
            <w:szCs w:val="21"/>
          </w:rPr>
          <w:t>Avis</w:t>
        </w:r>
        <w:r w:rsidRPr="008B535C">
          <w:rPr>
            <w:rFonts w:ascii="Tenorite" w:hAnsi="Tenorite" w:cstheme="minorHAnsi"/>
          </w:rPr>
          <w:t xml:space="preserve"> et rapport relatif à l’évaluation des risques relatifs à la consommation alimentaire de réglisse</w:t>
        </w:r>
      </w:hyperlink>
      <w:r w:rsidRPr="008B535C">
        <w:rPr>
          <w:rFonts w:ascii="Tenorite" w:hAnsi="Tenorite" w:cstheme="minorHAnsi"/>
        </w:rPr>
        <w:t xml:space="preserve"> – avis signé le 09/05/2025</w:t>
      </w:r>
    </w:p>
    <w:p w14:paraId="56C40998" w14:textId="77777777" w:rsidR="00DF6016" w:rsidRPr="005F3EA3" w:rsidRDefault="00DF6016" w:rsidP="001B42BB">
      <w:pPr>
        <w:spacing w:after="0" w:line="240" w:lineRule="auto"/>
        <w:ind w:left="284" w:hanging="142"/>
        <w:rPr>
          <w:rFonts w:ascii="Tenorite" w:hAnsi="Tenorite"/>
          <w:color w:val="C45911" w:themeColor="accent2" w:themeShade="BF"/>
          <w:sz w:val="20"/>
        </w:rPr>
      </w:pPr>
    </w:p>
    <w:p w14:paraId="30712E3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72A8B1B2" w14:textId="77777777" w:rsidR="00DF6016" w:rsidRDefault="00767DBA" w:rsidP="008B535C">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Modalités de commercialisation</w:t>
      </w:r>
    </w:p>
    <w:p w14:paraId="4CB5F43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44" w:history="1">
        <w:r w:rsidRPr="008B535C">
          <w:rPr>
            <w:rStyle w:val="Lienhypertexte"/>
            <w:rFonts w:ascii="Tenorite" w:eastAsia="Times New Roman" w:hAnsi="Tenorite" w:cs="Times New Roman"/>
            <w:lang w:eastAsia="fr-FR"/>
          </w:rPr>
          <w:t>Règlement</w:t>
        </w:r>
      </w:hyperlink>
      <w:r w:rsidRPr="008B535C">
        <w:rPr>
          <w:rFonts w:ascii="Tenorite" w:eastAsia="Times New Roman" w:hAnsi="Tenorite" w:cs="Times New Roman"/>
          <w:color w:val="636363"/>
          <w:lang w:eastAsia="fr-FR"/>
        </w:rPr>
        <w:t xml:space="preserve"> d’exécution (UE) 2025/1220 de la Commission du 16 juin 2025 relatif au classement de certaines marchandises dans la nomenclature combinée (JOUE 19/06/2025)</w:t>
      </w:r>
    </w:p>
    <w:p w14:paraId="490F83D0"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1BAB4008" w14:textId="77777777" w:rsidR="00E248D4" w:rsidRPr="008B535C" w:rsidRDefault="00E248D4" w:rsidP="008B535C">
      <w:pPr>
        <w:pStyle w:val="Textebrut"/>
        <w:ind w:left="142"/>
        <w:jc w:val="both"/>
        <w:rPr>
          <w:rFonts w:ascii="Tenorite" w:hAnsi="Tenorite"/>
          <w:szCs w:val="22"/>
        </w:rPr>
      </w:pPr>
      <w:hyperlink r:id="rId45" w:history="1">
        <w:r w:rsidRPr="008B535C">
          <w:rPr>
            <w:rStyle w:val="Lienhypertexte"/>
            <w:rFonts w:ascii="Tenorite" w:hAnsi="Tenorite"/>
            <w:szCs w:val="22"/>
          </w:rPr>
          <w:t>Règlement</w:t>
        </w:r>
      </w:hyperlink>
      <w:r w:rsidRPr="008B535C">
        <w:rPr>
          <w:rFonts w:ascii="Tenorite" w:hAnsi="Tenorite"/>
          <w:szCs w:val="22"/>
        </w:rPr>
        <w:t xml:space="preserve"> délégué (UE) 2025/1124 de la Commission du 19 mars 2025 rectifiant le règlement délégué (UE) 2018/273 en ce qui concerne l’importation de vins originaires du Canada (JOUE 03/06/2025)</w:t>
      </w:r>
    </w:p>
    <w:p w14:paraId="13C43F1D" w14:textId="77777777" w:rsidR="00E248D4" w:rsidRPr="008B535C" w:rsidRDefault="00E248D4" w:rsidP="008B535C">
      <w:pPr>
        <w:pStyle w:val="Textebrut"/>
        <w:ind w:left="142"/>
        <w:jc w:val="both"/>
        <w:rPr>
          <w:rFonts w:ascii="Tenorite" w:hAnsi="Tenorite"/>
          <w:szCs w:val="22"/>
        </w:rPr>
      </w:pPr>
    </w:p>
    <w:p w14:paraId="6AB5FB99" w14:textId="77777777" w:rsidR="00E248D4" w:rsidRDefault="00E248D4" w:rsidP="008B535C">
      <w:pPr>
        <w:pStyle w:val="Textebrut"/>
        <w:ind w:left="142"/>
        <w:jc w:val="both"/>
        <w:rPr>
          <w:rFonts w:ascii="Tenorite" w:hAnsi="Tenorite"/>
          <w:szCs w:val="22"/>
        </w:rPr>
      </w:pPr>
      <w:hyperlink r:id="rId46" w:history="1">
        <w:r w:rsidRPr="008B535C">
          <w:rPr>
            <w:rStyle w:val="Lienhypertexte"/>
            <w:rFonts w:ascii="Tenorite" w:hAnsi="Tenorite"/>
            <w:szCs w:val="22"/>
          </w:rPr>
          <w:t>Règlement</w:t>
        </w:r>
      </w:hyperlink>
      <w:r w:rsidRPr="008B535C">
        <w:rPr>
          <w:rFonts w:ascii="Tenorite" w:hAnsi="Tenorite"/>
          <w:szCs w:val="22"/>
        </w:rPr>
        <w:t xml:space="preserve"> d’exécution (UE) 2025/1221 de la Commission du 16 juin 2025 relatif au classement de certaines marchandises dans la nomenclature combinée (JOUE 19/06/2025)</w:t>
      </w:r>
    </w:p>
    <w:p w14:paraId="4F7079E9" w14:textId="77777777" w:rsidR="00DE7068" w:rsidRPr="008B535C" w:rsidRDefault="00DE7068" w:rsidP="008B535C">
      <w:pPr>
        <w:pStyle w:val="Textebrut"/>
        <w:ind w:left="142"/>
        <w:jc w:val="both"/>
        <w:rPr>
          <w:rFonts w:ascii="Tenorite" w:hAnsi="Tenorite"/>
          <w:szCs w:val="22"/>
        </w:rPr>
      </w:pPr>
    </w:p>
    <w:p w14:paraId="6D319C29" w14:textId="196C814A" w:rsidR="002B7CB6" w:rsidRPr="005F3EA3" w:rsidRDefault="002B7CB6" w:rsidP="008B535C">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03B49688" w14:textId="448B80D2" w:rsidR="00767DBA" w:rsidRDefault="00DE7068" w:rsidP="002B7CB6">
      <w:pPr>
        <w:spacing w:line="240" w:lineRule="auto"/>
        <w:ind w:left="284" w:hanging="142"/>
        <w:rPr>
          <w:rFonts w:ascii="Tenorite" w:hAnsi="Tenorite"/>
          <w:b/>
        </w:rPr>
      </w:pPr>
      <w:r>
        <w:rPr>
          <w:rFonts w:ascii="Tenorite" w:hAnsi="Tenorite"/>
          <w:b/>
        </w:rPr>
        <w:t>/</w:t>
      </w:r>
    </w:p>
    <w:p w14:paraId="41FF9880"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058A5014" w14:textId="36D9C47E" w:rsidR="00767DBA" w:rsidRPr="005F3EA3" w:rsidRDefault="00DE7068" w:rsidP="002B7CB6">
      <w:pPr>
        <w:spacing w:line="240" w:lineRule="auto"/>
        <w:ind w:left="284" w:hanging="142"/>
        <w:rPr>
          <w:rFonts w:ascii="Tenorite" w:hAnsi="Tenorite"/>
          <w:b/>
        </w:rPr>
      </w:pPr>
      <w:r>
        <w:rPr>
          <w:rFonts w:ascii="Tenorite" w:hAnsi="Tenorite"/>
          <w:b/>
        </w:rPr>
        <w:t>/</w:t>
      </w:r>
    </w:p>
    <w:p w14:paraId="262EC01F"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6A8D2938" w14:textId="5B53E532" w:rsidR="001B42BB" w:rsidRDefault="00DE7068" w:rsidP="002B7CB6">
      <w:pPr>
        <w:spacing w:line="240" w:lineRule="auto"/>
        <w:ind w:left="284" w:hanging="142"/>
        <w:rPr>
          <w:rFonts w:ascii="Tenorite" w:hAnsi="Tenorite"/>
          <w:b/>
        </w:rPr>
      </w:pPr>
      <w:r>
        <w:rPr>
          <w:rFonts w:ascii="Tenorite" w:hAnsi="Tenorite"/>
          <w:b/>
        </w:rPr>
        <w:t>/</w:t>
      </w:r>
    </w:p>
    <w:p w14:paraId="44733FE1"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3B9E4BE7" w14:textId="798A1957" w:rsidR="00767DBA" w:rsidRPr="005F3EA3" w:rsidRDefault="00DE7068" w:rsidP="002B7CB6">
      <w:pPr>
        <w:spacing w:line="240" w:lineRule="auto"/>
        <w:ind w:left="284" w:hanging="142"/>
        <w:rPr>
          <w:rFonts w:ascii="Tenorite" w:hAnsi="Tenorite"/>
          <w:b/>
        </w:rPr>
      </w:pPr>
      <w:r>
        <w:rPr>
          <w:rFonts w:ascii="Tenorite" w:hAnsi="Tenorite"/>
          <w:b/>
        </w:rPr>
        <w:t>/</w:t>
      </w:r>
    </w:p>
    <w:p w14:paraId="42D2A12E"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257E2765" w14:textId="41FB057B" w:rsidR="001B42BB" w:rsidRPr="005F3EA3" w:rsidRDefault="00DE7068" w:rsidP="002B7CB6">
      <w:pPr>
        <w:spacing w:after="0" w:line="240" w:lineRule="auto"/>
        <w:ind w:left="284" w:hanging="142"/>
        <w:rPr>
          <w:rFonts w:ascii="Tenorite" w:hAnsi="Tenorite"/>
          <w:b/>
        </w:rPr>
      </w:pPr>
      <w:r>
        <w:rPr>
          <w:rFonts w:ascii="Tenorite" w:hAnsi="Tenorite"/>
          <w:b/>
        </w:rPr>
        <w:t>/</w:t>
      </w:r>
    </w:p>
    <w:p w14:paraId="73BA24AE" w14:textId="77777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471E22FE" w14:textId="560E28A8" w:rsidR="001B42BB" w:rsidRDefault="00DE7068"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6A3146CF"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7F76598C"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50C69DAC" w14:textId="77777777" w:rsidR="00DF6016" w:rsidRPr="008B535C" w:rsidRDefault="00DF6016" w:rsidP="008B535C">
      <w:pPr>
        <w:pStyle w:val="Textebrut"/>
        <w:ind w:left="142"/>
        <w:jc w:val="both"/>
        <w:rPr>
          <w:rFonts w:ascii="Tenorite" w:hAnsi="Tenorite"/>
        </w:rPr>
      </w:pPr>
      <w:hyperlink r:id="rId47" w:history="1">
        <w:r w:rsidRPr="008B535C">
          <w:rPr>
            <w:rStyle w:val="Lienhypertexte"/>
            <w:rFonts w:ascii="Tenorite" w:hAnsi="Tenorite"/>
          </w:rPr>
          <w:t>Rectificatif</w:t>
        </w:r>
      </w:hyperlink>
      <w:r w:rsidRPr="008B535C">
        <w:rPr>
          <w:rFonts w:ascii="Tenorite" w:hAnsi="Tenorite"/>
        </w:rPr>
        <w:t xml:space="preserve"> au règlement (UE) 2024/1143 du Parlement européen et du Conseil du 11 avril 2024 concernant les indications géographiques relatives au vin, aux boissons spiritueuses et aux produits agricoles, ainsi que les spécialités traditionnelles garanties et les mentions de qualité facultatives pour les produits agricoles, modifiant les règlements (UE) n° 1308/2013, (UE) 2019/787 et (UE) 2019/1753 et abrogeant le règlement (UE) n° 1151/2012 (JOUE 05/06/2025)</w:t>
      </w:r>
    </w:p>
    <w:p w14:paraId="43246440" w14:textId="77777777" w:rsidR="00DF6016" w:rsidRPr="008B535C" w:rsidRDefault="00DF6016" w:rsidP="008B535C">
      <w:pPr>
        <w:pStyle w:val="Textebrut"/>
        <w:ind w:left="142"/>
        <w:jc w:val="both"/>
        <w:rPr>
          <w:rFonts w:ascii="Tenorite" w:hAnsi="Tenorite"/>
        </w:rPr>
      </w:pPr>
    </w:p>
    <w:p w14:paraId="01C078C6" w14:textId="77777777" w:rsidR="00DF6016" w:rsidRPr="008B535C" w:rsidRDefault="00DF6016" w:rsidP="008B535C">
      <w:pPr>
        <w:pStyle w:val="Textebrut"/>
        <w:ind w:left="142"/>
        <w:jc w:val="both"/>
        <w:rPr>
          <w:rFonts w:ascii="Tenorite" w:hAnsi="Tenorite"/>
        </w:rPr>
      </w:pPr>
      <w:hyperlink r:id="rId48" w:history="1">
        <w:r w:rsidRPr="008B535C">
          <w:rPr>
            <w:rStyle w:val="Lienhypertexte"/>
            <w:rFonts w:ascii="Tenorite" w:hAnsi="Tenorite"/>
          </w:rPr>
          <w:t>Rectificatif</w:t>
        </w:r>
      </w:hyperlink>
      <w:r w:rsidRPr="008B535C">
        <w:rPr>
          <w:rFonts w:ascii="Tenorite" w:hAnsi="Tenorite"/>
        </w:rPr>
        <w:t xml:space="preserve"> au règlement d’exécution (UE) 2025/26 de la Commission du 30 octobre 2024 portant modalités d’application du règlement (UE) 2024/1143 du Parlement européen et du Conseil en ce qui concerne les enregistrements, les modifications, les annulations, l’application de la protection, l’étiquetage et la communication concernant les indications géographiques et les spécialités traditionnelles garanties, modifiant le règlement d’exécution (UE) 2019/34 en ce qui concerne les indications géographiques dans le secteur vitivinicole, et abrogeant les règlements d’exécution (UE) no 668/2014 et (UE) 2021/1236 (JOUE 27/06/2025)</w:t>
      </w:r>
    </w:p>
    <w:p w14:paraId="68B4F8FA" w14:textId="77777777" w:rsidR="00DF6016" w:rsidRDefault="00DF6016" w:rsidP="00DF6016">
      <w:pPr>
        <w:pStyle w:val="Textebrut"/>
      </w:pPr>
    </w:p>
    <w:p w14:paraId="5CFC7F8A" w14:textId="46FE90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ALIEMNTAIRES </w:t>
      </w:r>
    </w:p>
    <w:p w14:paraId="35AB7DA9" w14:textId="625312AE" w:rsidR="00D025D4" w:rsidRPr="005F3EA3" w:rsidRDefault="00DE7068"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r w:rsidR="002B7CB6" w:rsidRPr="005F3EA3">
        <w:rPr>
          <w:rFonts w:ascii="Tenorite" w:hAnsi="Tenorite"/>
          <w:color w:val="C45911" w:themeColor="accent2" w:themeShade="BF"/>
          <w:sz w:val="20"/>
        </w:rPr>
        <w:t xml:space="preserve"> </w:t>
      </w:r>
    </w:p>
    <w:p w14:paraId="0F009304" w14:textId="77777777" w:rsidR="00D025D4" w:rsidRPr="005F3EA3" w:rsidRDefault="00D025D4" w:rsidP="00D025D4">
      <w:pPr>
        <w:tabs>
          <w:tab w:val="left" w:pos="4785"/>
        </w:tabs>
        <w:rPr>
          <w:rFonts w:ascii="Tenorite" w:hAnsi="Tenorite"/>
        </w:rPr>
      </w:pPr>
      <w:r w:rsidRPr="005F3EA3">
        <w:rPr>
          <w:rFonts w:ascii="Tenorite" w:hAnsi="Tenorite"/>
        </w:rPr>
        <w:tab/>
      </w:r>
    </w:p>
    <w:p w14:paraId="2414B308"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492504AF"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2771D8B" w14:textId="77777777"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7D30FD2D" w14:textId="77777777" w:rsidR="00DF6016" w:rsidRPr="008B535C" w:rsidRDefault="00DF6016" w:rsidP="008B535C">
      <w:pPr>
        <w:ind w:left="142"/>
        <w:rPr>
          <w:rFonts w:ascii="Tenorite" w:eastAsia="Times New Roman" w:hAnsi="Tenorite" w:cs="Times New Roman"/>
          <w:color w:val="636363"/>
          <w:sz w:val="21"/>
          <w:szCs w:val="21"/>
          <w:lang w:eastAsia="fr-FR"/>
        </w:rPr>
      </w:pPr>
      <w:hyperlink r:id="rId49" w:history="1">
        <w:r w:rsidRPr="008B535C">
          <w:rPr>
            <w:rStyle w:val="Lienhypertexte"/>
            <w:rFonts w:ascii="Tenorite" w:hAnsi="Tenorite"/>
          </w:rPr>
          <w:t>Notes explicatives</w:t>
        </w:r>
      </w:hyperlink>
      <w:r w:rsidRPr="008B535C">
        <w:rPr>
          <w:rFonts w:ascii="Tenorite" w:hAnsi="Tenorite"/>
        </w:rPr>
        <w:t xml:space="preserve"> de la nomenclature combinée de l'Union européenne (JOUE 19/06/2025)</w:t>
      </w:r>
    </w:p>
    <w:p w14:paraId="31D3D76D" w14:textId="77777777"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0B210B77" w14:textId="7626697E" w:rsidR="00E464D9" w:rsidRPr="005F3EA3" w:rsidRDefault="00DE7068" w:rsidP="00E464D9">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540D0199"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1B3B0F51" w14:textId="77777777" w:rsidR="0012180A" w:rsidRPr="008B535C" w:rsidRDefault="0012180A" w:rsidP="008B535C">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Signes officiels de qualité</w:t>
      </w:r>
    </w:p>
    <w:p w14:paraId="24B7A905" w14:textId="77777777" w:rsidR="00DF6016" w:rsidRPr="008B535C" w:rsidRDefault="00DF6016" w:rsidP="008B535C">
      <w:pPr>
        <w:spacing w:after="0" w:line="240" w:lineRule="auto"/>
        <w:ind w:left="142"/>
        <w:jc w:val="both"/>
        <w:rPr>
          <w:rFonts w:ascii="Tenorite" w:eastAsia="Times New Roman" w:hAnsi="Tenorite" w:cs="Times New Roman"/>
          <w:color w:val="636363"/>
          <w:lang w:eastAsia="fr-FR"/>
        </w:rPr>
      </w:pPr>
      <w:hyperlink r:id="rId50" w:history="1">
        <w:r w:rsidRPr="008B535C">
          <w:rPr>
            <w:rFonts w:ascii="Tenorite" w:eastAsia="Times New Roman" w:hAnsi="Tenorite" w:cs="Times New Roman"/>
            <w:b/>
            <w:bCs/>
            <w:color w:val="0088CC"/>
            <w:u w:val="single"/>
            <w:shd w:val="clear" w:color="auto" w:fill="FFFFFF"/>
            <w:lang w:eastAsia="fr-FR"/>
          </w:rPr>
          <w:t>Avis</w:t>
        </w:r>
      </w:hyperlink>
      <w:r w:rsidRPr="008B535C">
        <w:rPr>
          <w:rFonts w:ascii="Tenorite" w:eastAsia="Times New Roman" w:hAnsi="Tenorite" w:cs="Times New Roman"/>
          <w:color w:val="636363"/>
          <w:shd w:val="clear" w:color="auto" w:fill="FFFFFF"/>
          <w:lang w:eastAsia="fr-FR"/>
        </w:rPr>
        <w:t xml:space="preserve"> du 12-06-2025 - </w:t>
      </w:r>
      <w:r w:rsidRPr="008B535C">
        <w:rPr>
          <w:rFonts w:ascii="Tenorite" w:eastAsia="Times New Roman" w:hAnsi="Tenorite" w:cs="Times New Roman"/>
          <w:color w:val="636363"/>
          <w:lang w:eastAsia="fr-FR"/>
        </w:rPr>
        <w:t>Avis relatif à l'enregistrement en indication géographique protégée par la Commission européenne de la dénomination "</w:t>
      </w:r>
      <w:proofErr w:type="spellStart"/>
      <w:r w:rsidRPr="008B535C">
        <w:rPr>
          <w:rFonts w:ascii="Tenorite" w:eastAsia="Times New Roman" w:hAnsi="Tenorite" w:cs="Times New Roman"/>
          <w:color w:val="636363"/>
          <w:lang w:eastAsia="fr-FR"/>
        </w:rPr>
        <w:t>Pérail</w:t>
      </w:r>
      <w:proofErr w:type="spellEnd"/>
      <w:r w:rsidRPr="008B535C">
        <w:rPr>
          <w:rFonts w:ascii="Tenorite" w:eastAsia="Times New Roman" w:hAnsi="Tenorite" w:cs="Times New Roman"/>
          <w:color w:val="636363"/>
          <w:lang w:eastAsia="fr-FR"/>
        </w:rPr>
        <w:t>" (DGPE)</w:t>
      </w:r>
    </w:p>
    <w:p w14:paraId="34DBEB7A" w14:textId="77777777" w:rsidR="00DF6016" w:rsidRPr="008B535C" w:rsidRDefault="00DF6016" w:rsidP="008B535C">
      <w:pPr>
        <w:spacing w:after="0" w:line="240" w:lineRule="auto"/>
        <w:ind w:left="142"/>
        <w:jc w:val="both"/>
        <w:rPr>
          <w:rFonts w:ascii="Tenorite" w:eastAsia="Times New Roman" w:hAnsi="Tenorite" w:cs="Times New Roman"/>
          <w:color w:val="636363"/>
          <w:lang w:eastAsia="fr-FR"/>
        </w:rPr>
      </w:pPr>
    </w:p>
    <w:p w14:paraId="73E565CF" w14:textId="77777777" w:rsidR="00DF6016" w:rsidRPr="008B535C" w:rsidRDefault="00DF6016" w:rsidP="008B535C">
      <w:pPr>
        <w:spacing w:after="0" w:line="240" w:lineRule="auto"/>
        <w:ind w:left="142"/>
        <w:jc w:val="both"/>
        <w:rPr>
          <w:rFonts w:ascii="Tenorite" w:eastAsia="Times New Roman" w:hAnsi="Tenorite" w:cs="Times New Roman"/>
          <w:color w:val="636363"/>
          <w:lang w:eastAsia="fr-FR"/>
        </w:rPr>
      </w:pPr>
      <w:hyperlink r:id="rId51" w:history="1">
        <w:r w:rsidRPr="008B535C">
          <w:rPr>
            <w:rFonts w:ascii="Tenorite" w:eastAsia="Times New Roman" w:hAnsi="Tenorite" w:cs="Times New Roman"/>
            <w:b/>
            <w:bCs/>
            <w:color w:val="0088CC"/>
            <w:u w:val="single"/>
            <w:shd w:val="clear" w:color="auto" w:fill="FFFFFF"/>
            <w:lang w:eastAsia="fr-FR"/>
          </w:rPr>
          <w:t>Avis</w:t>
        </w:r>
      </w:hyperlink>
      <w:r w:rsidRPr="008B535C">
        <w:rPr>
          <w:rFonts w:ascii="Tenorite" w:eastAsia="Times New Roman" w:hAnsi="Tenorite" w:cs="Times New Roman"/>
          <w:color w:val="636363"/>
          <w:shd w:val="clear" w:color="auto" w:fill="FFFFFF"/>
          <w:lang w:eastAsia="fr-FR"/>
        </w:rPr>
        <w:t xml:space="preserve"> du 19-06-2025 - </w:t>
      </w:r>
      <w:r w:rsidRPr="008B535C">
        <w:rPr>
          <w:rFonts w:ascii="Tenorite" w:eastAsia="Times New Roman" w:hAnsi="Tenorite" w:cs="Times New Roman"/>
          <w:color w:val="636363"/>
          <w:lang w:eastAsia="fr-FR"/>
        </w:rPr>
        <w:t>Avis relatif à l'approbation d'une modification du cahier des charges de la spécialité traditionnelle garantie "Berthoud" (DGPE)</w:t>
      </w:r>
    </w:p>
    <w:p w14:paraId="05ABA3CD" w14:textId="77777777" w:rsidR="00DF6016" w:rsidRDefault="00DF6016" w:rsidP="00D025D4">
      <w:pPr>
        <w:ind w:left="426" w:hanging="283"/>
        <w:rPr>
          <w:rFonts w:ascii="Tenorite" w:hAnsi="Tenorite"/>
          <w:color w:val="C45911" w:themeColor="accent2" w:themeShade="BF"/>
          <w:sz w:val="20"/>
          <w:szCs w:val="18"/>
        </w:rPr>
      </w:pPr>
    </w:p>
    <w:p w14:paraId="50C3E512"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0637C121" w14:textId="77777777" w:rsidR="00D025D4" w:rsidRPr="008B535C" w:rsidRDefault="00E464D9" w:rsidP="00DE7068">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Généralités</w:t>
      </w:r>
    </w:p>
    <w:p w14:paraId="13C553C0" w14:textId="77777777" w:rsidR="008B535C" w:rsidRDefault="00DF6016" w:rsidP="00DE7068">
      <w:pPr>
        <w:shd w:val="clear" w:color="auto" w:fill="FFFFFF"/>
        <w:spacing w:after="0" w:line="240" w:lineRule="auto"/>
        <w:ind w:left="142"/>
        <w:jc w:val="both"/>
        <w:rPr>
          <w:rFonts w:ascii="Tenorite" w:eastAsia="Times New Roman" w:hAnsi="Tenorite" w:cs="Times New Roman"/>
          <w:color w:val="636363"/>
          <w:lang w:eastAsia="fr-FR"/>
        </w:rPr>
      </w:pPr>
      <w:hyperlink r:id="rId52" w:history="1">
        <w:r w:rsidRPr="008B535C">
          <w:rPr>
            <w:rFonts w:ascii="Tenorite" w:eastAsia="Times New Roman" w:hAnsi="Tenorite" w:cs="Times New Roman"/>
            <w:b/>
            <w:bCs/>
            <w:color w:val="0088CC"/>
            <w:u w:val="single"/>
            <w:lang w:eastAsia="fr-FR"/>
          </w:rPr>
          <w:t>Rectificatif</w:t>
        </w:r>
      </w:hyperlink>
      <w:r w:rsidRPr="008B535C">
        <w:rPr>
          <w:rFonts w:ascii="Tenorite" w:eastAsia="Times New Roman" w:hAnsi="Tenorite" w:cs="Times New Roman"/>
          <w:color w:val="636363"/>
          <w:lang w:eastAsia="fr-FR"/>
        </w:rPr>
        <w:t> du 10-06-2025 - Dossier type d’agrément sanitaire pour les petits centres d'emballage d’œufs, au titre de la section X de l'annexe III du règlement (CE) n°853/2004 (DGAL)</w:t>
      </w:r>
    </w:p>
    <w:p w14:paraId="5ACF6056" w14:textId="77777777" w:rsidR="00DE7068" w:rsidRDefault="00DE7068" w:rsidP="00DE7068">
      <w:pPr>
        <w:shd w:val="clear" w:color="auto" w:fill="FFFFFF"/>
        <w:spacing w:after="0" w:line="240" w:lineRule="auto"/>
        <w:ind w:left="142"/>
        <w:jc w:val="both"/>
        <w:rPr>
          <w:rFonts w:ascii="Tenorite" w:eastAsia="Times New Roman" w:hAnsi="Tenorite" w:cs="Times New Roman"/>
          <w:color w:val="636363"/>
          <w:lang w:eastAsia="fr-FR"/>
        </w:rPr>
      </w:pPr>
    </w:p>
    <w:p w14:paraId="46FAD640" w14:textId="1E32892D" w:rsidR="00DF6016" w:rsidRDefault="00DF6016" w:rsidP="00DE7068">
      <w:pPr>
        <w:shd w:val="clear" w:color="auto" w:fill="FFFFFF"/>
        <w:spacing w:after="0" w:line="240" w:lineRule="auto"/>
        <w:ind w:left="142"/>
        <w:jc w:val="both"/>
        <w:rPr>
          <w:rFonts w:ascii="Tenorite" w:hAnsi="Tenorite"/>
        </w:rPr>
      </w:pPr>
      <w:hyperlink r:id="rId53" w:history="1">
        <w:r w:rsidRPr="008B535C">
          <w:rPr>
            <w:rStyle w:val="Lienhypertexte"/>
            <w:rFonts w:ascii="Tenorite" w:hAnsi="Tenorite"/>
          </w:rPr>
          <w:t>Règlement</w:t>
        </w:r>
      </w:hyperlink>
      <w:r w:rsidRPr="008B535C">
        <w:rPr>
          <w:rFonts w:ascii="Tenorite" w:hAnsi="Tenorite"/>
        </w:rPr>
        <w:t xml:space="preserve"> d’exécution (UE) 2025/1294 de la Commission du 25 juin 2025 modifiant le règlement (CE) no 1484/95 en ce qui concerne la fixation des prix représentatifs dans les secteurs de la viande de volaille et des œufs ainsi que pour l’ovalbumine (JOUE 27/06/2025)</w:t>
      </w:r>
    </w:p>
    <w:p w14:paraId="4EE480E0" w14:textId="77777777" w:rsidR="00DE7068" w:rsidRPr="008B535C" w:rsidRDefault="00DE7068" w:rsidP="00DE7068">
      <w:pPr>
        <w:shd w:val="clear" w:color="auto" w:fill="FFFFFF"/>
        <w:spacing w:after="0" w:line="240" w:lineRule="auto"/>
        <w:ind w:left="142"/>
        <w:jc w:val="both"/>
        <w:rPr>
          <w:rFonts w:ascii="Tenorite" w:hAnsi="Tenorite"/>
        </w:rPr>
      </w:pPr>
    </w:p>
    <w:p w14:paraId="72C39B7E"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2F1271D1" w14:textId="0212D649" w:rsidR="00D025D4" w:rsidRPr="005F3EA3" w:rsidRDefault="00DE7068" w:rsidP="00D025D4">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47FBF837"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56C79941" w14:textId="77777777" w:rsidR="00D025D4" w:rsidRPr="008B535C" w:rsidRDefault="00D025D4" w:rsidP="008B535C">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Maladies</w:t>
      </w:r>
    </w:p>
    <w:p w14:paraId="156E5E9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r w:rsidRPr="008B535C">
        <w:rPr>
          <w:rFonts w:ascii="Tenorite" w:eastAsia="Times New Roman" w:hAnsi="Tenorite" w:cs="Times New Roman"/>
          <w:b/>
          <w:bCs/>
          <w:color w:val="636363"/>
          <w:lang w:eastAsia="fr-FR"/>
        </w:rPr>
        <w:t>Instruction technique </w:t>
      </w:r>
      <w:hyperlink r:id="rId54" w:history="1">
        <w:r w:rsidRPr="008B535C">
          <w:rPr>
            <w:rFonts w:ascii="Tenorite" w:eastAsia="Times New Roman" w:hAnsi="Tenorite" w:cs="Times New Roman"/>
            <w:color w:val="0088CC"/>
            <w:u w:val="single"/>
            <w:lang w:eastAsia="fr-FR"/>
          </w:rPr>
          <w:t>DGAL/SDSBEA/2025-357</w:t>
        </w:r>
      </w:hyperlink>
      <w:r w:rsidRPr="008B535C">
        <w:rPr>
          <w:rFonts w:ascii="Tenorite" w:eastAsia="Times New Roman" w:hAnsi="Tenorite" w:cs="Times New Roman"/>
          <w:color w:val="636363"/>
          <w:lang w:eastAsia="fr-FR"/>
        </w:rPr>
        <w:t> du 04-06-2025-FCO - conditions applicables aux mouvements des ruminants et aux mouvements de leurs produits germinaux (DGAL)</w:t>
      </w:r>
    </w:p>
    <w:p w14:paraId="3270DDB7" w14:textId="77777777" w:rsidR="008B535C" w:rsidRPr="008B535C" w:rsidRDefault="008B535C" w:rsidP="008B535C">
      <w:pPr>
        <w:shd w:val="clear" w:color="auto" w:fill="FFFFFF"/>
        <w:spacing w:after="0" w:line="240" w:lineRule="auto"/>
        <w:ind w:left="142"/>
        <w:jc w:val="both"/>
        <w:rPr>
          <w:rFonts w:ascii="Tenorite" w:hAnsi="Tenorite"/>
        </w:rPr>
      </w:pPr>
    </w:p>
    <w:p w14:paraId="4630B87A"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r w:rsidRPr="008B535C">
        <w:rPr>
          <w:rFonts w:ascii="Tenorite" w:eastAsia="Times New Roman" w:hAnsi="Tenorite" w:cs="Times New Roman"/>
          <w:b/>
          <w:bCs/>
          <w:color w:val="636363"/>
          <w:lang w:eastAsia="fr-FR"/>
        </w:rPr>
        <w:t>Instruction technique </w:t>
      </w:r>
      <w:hyperlink r:id="rId55" w:history="1">
        <w:r w:rsidRPr="008B535C">
          <w:rPr>
            <w:rFonts w:ascii="Tenorite" w:eastAsia="Times New Roman" w:hAnsi="Tenorite" w:cs="Times New Roman"/>
            <w:color w:val="0088CC"/>
            <w:u w:val="single"/>
            <w:lang w:eastAsia="fr-FR"/>
          </w:rPr>
          <w:t>DGAL/SDSBEA/2025-372</w:t>
        </w:r>
      </w:hyperlink>
      <w:r w:rsidRPr="008B535C">
        <w:rPr>
          <w:rFonts w:ascii="Tenorite" w:eastAsia="Times New Roman" w:hAnsi="Tenorite" w:cs="Times New Roman"/>
          <w:color w:val="636363"/>
          <w:lang w:eastAsia="fr-FR"/>
        </w:rPr>
        <w:t> du 18-06-2025 - Modalités d’instruction des aides d’Etat dans le cadre de la lutte contre la rhinotrachéite infectieuse bovine (IBR) (DGAL)</w:t>
      </w:r>
    </w:p>
    <w:p w14:paraId="429D5D34" w14:textId="77777777" w:rsidR="008B535C" w:rsidRPr="008B535C" w:rsidRDefault="008B535C" w:rsidP="008B535C">
      <w:pPr>
        <w:shd w:val="clear" w:color="auto" w:fill="FFFFFF"/>
        <w:spacing w:after="0" w:line="240" w:lineRule="auto"/>
        <w:ind w:left="142"/>
        <w:jc w:val="both"/>
        <w:rPr>
          <w:rFonts w:ascii="Tenorite" w:hAnsi="Tenorite"/>
        </w:rPr>
      </w:pPr>
    </w:p>
    <w:p w14:paraId="5621FB6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56"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2025/1160 de la Commission du 5 juin 2025 concernant certaines mesures d’urgence relatives à la clavelée et à la variole caprine en Bulgarie et abrogeant la décision d’exécution (UE) 2025/948 (JOUE 10/06/2025)</w:t>
      </w:r>
    </w:p>
    <w:p w14:paraId="61906116"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70B7A65D" w14:textId="77777777" w:rsidR="00DF6016" w:rsidRPr="008B535C" w:rsidRDefault="00DF6016" w:rsidP="008B535C">
      <w:pPr>
        <w:shd w:val="clear" w:color="auto" w:fill="FFFFFF"/>
        <w:spacing w:after="0" w:line="240" w:lineRule="auto"/>
        <w:ind w:left="142"/>
        <w:jc w:val="both"/>
        <w:rPr>
          <w:rFonts w:ascii="Tenorite" w:hAnsi="Tenorite"/>
        </w:rPr>
      </w:pPr>
      <w:hyperlink r:id="rId57"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2025/1210 de la Commission du 16 juin 2025 modifiant l’annexe de la décision d’exécution (UE) 2023/2447 concernant des mesures d’urgence motivées par l’apparition de foyers d’influenza aviaire hautement pathogène dans certains États membre (JOUE 18/06/2025)</w:t>
      </w:r>
    </w:p>
    <w:p w14:paraId="50764435"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58"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2025/1250 de la Commission du 19 juin 2025 modifiant la décision d’exécution (UE) 2025/638 concernant certaines mesures d’urgence relatives à l’infection par le virus de la peste des petits ruminants en Roumanie (JOUE 24/06/2025)</w:t>
      </w:r>
    </w:p>
    <w:p w14:paraId="67111095"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642379F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59"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2025/1261 de la Commission du 20 juin 2025 modifiant la décision d’exécution (UE) 2025/1160 concernant certaines mesures d’urgence relatives à la clavelée et à la variole caprine en Bulgarie (JOUE 26/06/2025)</w:t>
      </w:r>
    </w:p>
    <w:p w14:paraId="28693BE6"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400C162F" w14:textId="77777777" w:rsidR="00DF6016" w:rsidRPr="008B535C"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60"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2025/1287 de la Commission du 25 juin 2025 modifiant la décision d’exécution (UE) 2024/2207 concernant certaines mesures d’urgence relatives à la clavelée et à la variole caprine en Grèce (JOUE 30/06/2025)</w:t>
      </w:r>
    </w:p>
    <w:p w14:paraId="771FAE4B" w14:textId="77777777" w:rsidR="00DF6016" w:rsidRPr="008B535C" w:rsidRDefault="00DF6016" w:rsidP="008B535C">
      <w:pPr>
        <w:spacing w:after="0" w:line="240" w:lineRule="auto"/>
        <w:ind w:left="142" w:hanging="283"/>
        <w:jc w:val="both"/>
        <w:rPr>
          <w:rFonts w:ascii="Tenorite" w:hAnsi="Tenorite"/>
          <w:color w:val="C45911" w:themeColor="accent2" w:themeShade="BF"/>
        </w:rPr>
      </w:pPr>
    </w:p>
    <w:p w14:paraId="301AE4ED" w14:textId="77777777" w:rsidR="00D025D4" w:rsidRPr="005F3EA3" w:rsidRDefault="00D025D4" w:rsidP="00D025D4">
      <w:pPr>
        <w:pStyle w:val="Titre1"/>
        <w:spacing w:before="0"/>
        <w:ind w:left="142"/>
        <w:rPr>
          <w:rFonts w:ascii="Tenorite" w:hAnsi="Tenorite" w:cs="Tahoma"/>
          <w:i/>
          <w:sz w:val="20"/>
          <w:szCs w:val="20"/>
        </w:rPr>
      </w:pPr>
      <w:r w:rsidRPr="005F3EA3">
        <w:rPr>
          <w:rFonts w:ascii="Tenorite" w:hAnsi="Tenorite" w:cs="Tahoma"/>
          <w:i/>
          <w:sz w:val="20"/>
          <w:szCs w:val="20"/>
        </w:rPr>
        <w:t>Ce bulletin est la propriété du CRITT Agro-Alimentaire PACA et est établi à l'usage exclusif de l’entreprise signataire du bulletin d’adhésion.</w:t>
      </w:r>
    </w:p>
    <w:p w14:paraId="12CD146B" w14:textId="77777777" w:rsidR="00D025D4" w:rsidRPr="005F3EA3" w:rsidRDefault="00D025D4" w:rsidP="00D025D4">
      <w:pPr>
        <w:rPr>
          <w:rFonts w:ascii="Tenorite" w:hAnsi="Tenorite"/>
        </w:rPr>
      </w:pPr>
    </w:p>
    <w:p w14:paraId="60951450" w14:textId="77777777" w:rsidR="000C0DEF" w:rsidRPr="005F3EA3" w:rsidRDefault="000C0DEF" w:rsidP="00D025D4">
      <w:pPr>
        <w:rPr>
          <w:rFonts w:ascii="Tenorite" w:hAnsi="Tenorite"/>
        </w:rPr>
      </w:pPr>
    </w:p>
    <w:sectPr w:rsidR="000C0DEF" w:rsidRPr="005F3EA3" w:rsidSect="000C0DEF">
      <w:headerReference w:type="even" r:id="rId61"/>
      <w:headerReference w:type="default" r:id="rId62"/>
      <w:footerReference w:type="default" r:id="rId63"/>
      <w:headerReference w:type="first" r:id="rId64"/>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C84F6" w14:textId="77777777" w:rsidR="00DF6016" w:rsidRDefault="00DF6016" w:rsidP="000C0DEF">
      <w:pPr>
        <w:spacing w:after="0" w:line="240" w:lineRule="auto"/>
      </w:pPr>
      <w:r>
        <w:separator/>
      </w:r>
    </w:p>
  </w:endnote>
  <w:endnote w:type="continuationSeparator" w:id="0">
    <w:p w14:paraId="132445AF" w14:textId="77777777" w:rsidR="00DF6016" w:rsidRDefault="00DF6016"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705ED" w14:textId="3D8E5F86" w:rsidR="000C0DEF" w:rsidRDefault="00DE7068" w:rsidP="000C0DEF">
    <w:pPr>
      <w:pStyle w:val="Pieddepage"/>
      <w:tabs>
        <w:tab w:val="clear" w:pos="4536"/>
        <w:tab w:val="clear" w:pos="9072"/>
        <w:tab w:val="left" w:pos="3210"/>
      </w:tabs>
      <w:ind w:right="1133"/>
      <w:jc w:val="center"/>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0CF38" w14:textId="77777777" w:rsidR="00DF6016" w:rsidRDefault="00DF6016" w:rsidP="000C0DEF">
      <w:pPr>
        <w:spacing w:after="0" w:line="240" w:lineRule="auto"/>
      </w:pPr>
      <w:r>
        <w:separator/>
      </w:r>
    </w:p>
  </w:footnote>
  <w:footnote w:type="continuationSeparator" w:id="0">
    <w:p w14:paraId="57963FAD" w14:textId="77777777" w:rsidR="00DF6016" w:rsidRDefault="00DF6016"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D1E1D" w14:textId="77777777" w:rsidR="000C0DEF" w:rsidRDefault="00CA37B8">
    <w:pPr>
      <w:pStyle w:val="En-tte"/>
    </w:pPr>
    <w:r>
      <w:rPr>
        <w:noProof/>
        <w:lang w:eastAsia="fr-FR"/>
      </w:rPr>
      <w:pict w14:anchorId="6EF61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CFCFD" w14:textId="2FA8EF1D" w:rsidR="000C0DEF" w:rsidRPr="000C0DEF" w:rsidRDefault="00CA37B8" w:rsidP="005F3EA3">
    <w:pPr>
      <w:pStyle w:val="En-tte"/>
    </w:pPr>
    <w:r>
      <w:rPr>
        <w:noProof/>
        <w:lang w:eastAsia="fr-FR"/>
      </w:rPr>
      <w:pict w14:anchorId="588077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21B0" w14:textId="77777777" w:rsidR="000C0DEF" w:rsidRDefault="00CA37B8">
    <w:pPr>
      <w:pStyle w:val="En-tte"/>
    </w:pPr>
    <w:r>
      <w:rPr>
        <w:noProof/>
        <w:lang w:eastAsia="fr-FR"/>
      </w:rPr>
      <w:pict w14:anchorId="7387CC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016"/>
    <w:rsid w:val="000C0DEF"/>
    <w:rsid w:val="0012180A"/>
    <w:rsid w:val="001B0DF8"/>
    <w:rsid w:val="001B42BB"/>
    <w:rsid w:val="002A04F6"/>
    <w:rsid w:val="002B7CB6"/>
    <w:rsid w:val="002D342B"/>
    <w:rsid w:val="002F17D1"/>
    <w:rsid w:val="005F3EA3"/>
    <w:rsid w:val="005F79C3"/>
    <w:rsid w:val="006C780E"/>
    <w:rsid w:val="00767DBA"/>
    <w:rsid w:val="008B535C"/>
    <w:rsid w:val="008B7919"/>
    <w:rsid w:val="00901715"/>
    <w:rsid w:val="00930E35"/>
    <w:rsid w:val="00976CF0"/>
    <w:rsid w:val="00980424"/>
    <w:rsid w:val="00BD6D3D"/>
    <w:rsid w:val="00BF1263"/>
    <w:rsid w:val="00BF7342"/>
    <w:rsid w:val="00C2622D"/>
    <w:rsid w:val="00CA37B8"/>
    <w:rsid w:val="00D025D4"/>
    <w:rsid w:val="00DE7068"/>
    <w:rsid w:val="00DF6016"/>
    <w:rsid w:val="00E248D4"/>
    <w:rsid w:val="00E464D9"/>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51372"/>
  <w15:chartTrackingRefBased/>
  <w15:docId w15:val="{C442C7C8-C3A0-4C31-86B4-E28B37252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DF6016"/>
    <w:rPr>
      <w:strike w:val="0"/>
      <w:dstrike w:val="0"/>
      <w:color w:val="0000FF"/>
      <w:u w:val="none"/>
      <w:effect w:val="none"/>
    </w:rPr>
  </w:style>
  <w:style w:type="paragraph" w:styleId="Textebrut">
    <w:name w:val="Plain Text"/>
    <w:basedOn w:val="Normal"/>
    <w:link w:val="TextebrutCar"/>
    <w:uiPriority w:val="99"/>
    <w:unhideWhenUsed/>
    <w:rsid w:val="00DF6016"/>
    <w:pPr>
      <w:spacing w:after="0" w:line="240" w:lineRule="auto"/>
    </w:pPr>
    <w:rPr>
      <w:rFonts w:ascii="Calibri" w:hAnsi="Calibri"/>
      <w:szCs w:val="21"/>
    </w:rPr>
  </w:style>
  <w:style w:type="character" w:customStyle="1" w:styleId="TextebrutCar">
    <w:name w:val="Texte brut Car"/>
    <w:basedOn w:val="Policepardfaut"/>
    <w:link w:val="Textebrut"/>
    <w:uiPriority w:val="99"/>
    <w:rsid w:val="00DF6016"/>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fo.agriculture.gouv.fr/boagri/instruction-2025-361" TargetMode="External"/><Relationship Id="rId18" Type="http://schemas.openxmlformats.org/officeDocument/2006/relationships/hyperlink" Target="https://eur-lex.europa.eu/legal-content/FR/TXT/PDF/?uri=OJ:L_202590479" TargetMode="External"/><Relationship Id="rId26" Type="http://schemas.openxmlformats.org/officeDocument/2006/relationships/hyperlink" Target="https://eur-lex.europa.eu/legal-content/FR/TXT/PDF/?uri=OJ:L_202501248" TargetMode="External"/><Relationship Id="rId39" Type="http://schemas.openxmlformats.org/officeDocument/2006/relationships/hyperlink" Target="https://eur-lex.europa.eu/legal-content/FR/TXT/PDF/?uri=OJ:L_202501105" TargetMode="External"/><Relationship Id="rId21" Type="http://schemas.openxmlformats.org/officeDocument/2006/relationships/hyperlink" Target="https://eur-lex.europa.eu/legal-content/FR/TXT/PDF/?uri=OJ:L_202501177" TargetMode="External"/><Relationship Id="rId34" Type="http://schemas.openxmlformats.org/officeDocument/2006/relationships/hyperlink" Target="https://eur-lex.europa.eu/legal-content/FR/TXT/PDF/?uri=OJ:L_202501163" TargetMode="External"/><Relationship Id="rId42" Type="http://schemas.openxmlformats.org/officeDocument/2006/relationships/hyperlink" Target="https://www.plateforme-sca.fr/ndeg136-26-juin-2025" TargetMode="External"/><Relationship Id="rId47" Type="http://schemas.openxmlformats.org/officeDocument/2006/relationships/hyperlink" Target="https://eur-lex.europa.eu/legal-content/FR/TXT/PDF/?uri=OJ:L_202590477" TargetMode="External"/><Relationship Id="rId50" Type="http://schemas.openxmlformats.org/officeDocument/2006/relationships/hyperlink" Target="https://info.agriculture.gouv.fr/boagri/document_administratif-df1414c3-26f8-47ea-a018-4a887f413928" TargetMode="External"/><Relationship Id="rId55" Type="http://schemas.openxmlformats.org/officeDocument/2006/relationships/hyperlink" Target="https://info.agriculture.gouv.fr/boagri/instruction-2025-372" TargetMode="External"/><Relationship Id="rId63" Type="http://schemas.openxmlformats.org/officeDocument/2006/relationships/footer" Target="foot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eur-lex.europa.eu/legal-content/FR/TXT/PDF/?uri=OJ:L_202501090" TargetMode="External"/><Relationship Id="rId20" Type="http://schemas.openxmlformats.org/officeDocument/2006/relationships/hyperlink" Target="https://eur-lex.europa.eu/legal-content/FR/TXT/PDF/?uri=OJ:L_202501171" TargetMode="External"/><Relationship Id="rId29" Type="http://schemas.openxmlformats.org/officeDocument/2006/relationships/hyperlink" Target="https://eur-lex.europa.eu/legal-content/FR/TXT/PDF/?uri=OJ:L_202501247" TargetMode="External"/><Relationship Id="rId41" Type="http://schemas.openxmlformats.org/officeDocument/2006/relationships/hyperlink" Target="https://www.plateforme-sca.fr/ndeg135-13-juin-2025" TargetMode="External"/><Relationship Id="rId54" Type="http://schemas.openxmlformats.org/officeDocument/2006/relationships/hyperlink" Target="https://info.agriculture.gouv.fr/boagri/instruction-2025-357"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ur-lex.europa.eu/legal-content/FR/TXT/PDF/?uri=OJ:L_202501112" TargetMode="External"/><Relationship Id="rId24" Type="http://schemas.openxmlformats.org/officeDocument/2006/relationships/hyperlink" Target="https://eur-lex.europa.eu/legal-content/FR/TXT/PDF/?uri=OJ:L_202501196" TargetMode="External"/><Relationship Id="rId32" Type="http://schemas.openxmlformats.org/officeDocument/2006/relationships/hyperlink" Target="https://www.anses.fr/sites/default/files/PHYTOS2025-SA-0019.pdf" TargetMode="External"/><Relationship Id="rId37" Type="http://schemas.openxmlformats.org/officeDocument/2006/relationships/hyperlink" Target="https://www.anses.fr/sites/default/files/AP2022-AUTO-0035-RA.pdf" TargetMode="External"/><Relationship Id="rId40" Type="http://schemas.openxmlformats.org/officeDocument/2006/relationships/hyperlink" Target="https://eur-lex.europa.eu/legal-content/FR/TXT/PDF/?uri=OJ:L_202501103" TargetMode="External"/><Relationship Id="rId45" Type="http://schemas.openxmlformats.org/officeDocument/2006/relationships/hyperlink" Target="https://eur-lex.europa.eu/legal-content/FR/TXT/PDF/?uri=OJ:L_202501124" TargetMode="External"/><Relationship Id="rId53" Type="http://schemas.openxmlformats.org/officeDocument/2006/relationships/hyperlink" Target="https://eur-lex.europa.eu/legal-content/FR/TXT/PDF/?uri=OJ:L_202501294" TargetMode="External"/><Relationship Id="rId58" Type="http://schemas.openxmlformats.org/officeDocument/2006/relationships/hyperlink" Target="https://eur-lex.europa.eu/legal-content/FR/TXT/PDF/?uri=OJ:L_202501250" TargetMode="External"/><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ur-lex.europa.eu/legal-content/FR/TXT/PDF/?uri=OJ:L_202501074" TargetMode="External"/><Relationship Id="rId23" Type="http://schemas.openxmlformats.org/officeDocument/2006/relationships/hyperlink" Target="https://eur-lex.europa.eu/legal-content/FR/TXT/PDF/?uri=OJ:L_202501186" TargetMode="External"/><Relationship Id="rId28" Type="http://schemas.openxmlformats.org/officeDocument/2006/relationships/hyperlink" Target="https://eur-lex.europa.eu/legal-content/FR/TXT/PDF/?uri=OJ:L_202501260" TargetMode="External"/><Relationship Id="rId36" Type="http://schemas.openxmlformats.org/officeDocument/2006/relationships/hyperlink" Target="https://eur-lex.europa.eu/legal-content/FR/TXT/PDF/?uri=OJ:L_202500718" TargetMode="External"/><Relationship Id="rId49" Type="http://schemas.openxmlformats.org/officeDocument/2006/relationships/hyperlink" Target="https://eur-lex.europa.eu/legal-content/FR/TXT/PDF/?uri=OJ:C_202503447" TargetMode="External"/><Relationship Id="rId57" Type="http://schemas.openxmlformats.org/officeDocument/2006/relationships/hyperlink" Target="https://eur-lex.europa.eu/legal-content/FR/TXT/PDF/?uri=OJ:L_202501210" TargetMode="External"/><Relationship Id="rId61" Type="http://schemas.openxmlformats.org/officeDocument/2006/relationships/header" Target="header1.xml"/><Relationship Id="rId10" Type="http://schemas.openxmlformats.org/officeDocument/2006/relationships/hyperlink" Target="https://eur-lex.europa.eu/legal-content/FR/TXT/PDF/?uri=OJ:L_202501150" TargetMode="External"/><Relationship Id="rId19" Type="http://schemas.openxmlformats.org/officeDocument/2006/relationships/hyperlink" Target="https://eur-lex.europa.eu/legal-content/FR/TXT/PDF/?uri=OJ:L_202501152" TargetMode="External"/><Relationship Id="rId31" Type="http://schemas.openxmlformats.org/officeDocument/2006/relationships/hyperlink" Target="https://www.anses.fr/sites/default/files/EAUX2023-SA-0041-d.pdf" TargetMode="External"/><Relationship Id="rId44" Type="http://schemas.openxmlformats.org/officeDocument/2006/relationships/hyperlink" Target="https://eur-lex.europa.eu/legal-content/FR/TXT/PDF/?uri=OJ:L_202501220" TargetMode="External"/><Relationship Id="rId52" Type="http://schemas.openxmlformats.org/officeDocument/2006/relationships/hyperlink" Target="https://info.agriculture.gouv.fr/boagri/rectificatif-8d68882f-0f0f-4a51-8fd5-9ce79429fb28" TargetMode="External"/><Relationship Id="rId60" Type="http://schemas.openxmlformats.org/officeDocument/2006/relationships/hyperlink" Target="https://eur-lex.europa.eu/legal-content/FR/TXT/PDF/?uri=OJ:L_202501287"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fo.agriculture.gouv.fr/boagri/instruction-2025-363" TargetMode="External"/><Relationship Id="rId14" Type="http://schemas.openxmlformats.org/officeDocument/2006/relationships/hyperlink" Target="https://eur-lex.europa.eu/legal-content/FR/TXT/PDF/?uri=OJ:L_202501092" TargetMode="External"/><Relationship Id="rId22" Type="http://schemas.openxmlformats.org/officeDocument/2006/relationships/hyperlink" Target="https://eur-lex.europa.eu/legal-content/FR/TXT/PDF/?uri=OJ:L_202501116" TargetMode="External"/><Relationship Id="rId27" Type="http://schemas.openxmlformats.org/officeDocument/2006/relationships/hyperlink" Target="https://eur-lex.europa.eu/legal-content/FR/TXT/PDF/?uri=OJ:L_202501257" TargetMode="External"/><Relationship Id="rId30" Type="http://schemas.openxmlformats.org/officeDocument/2006/relationships/hyperlink" Target="https://eur-lex.europa.eu/legal-content/FR/TXT/PDF/?uri=OJ:L_202501138" TargetMode="External"/><Relationship Id="rId35" Type="http://schemas.openxmlformats.org/officeDocument/2006/relationships/hyperlink" Target="https://eur-lex.europa.eu/legal-content/FR/TXT/PDF/?uri=OJ:L_202501164" TargetMode="External"/><Relationship Id="rId43" Type="http://schemas.openxmlformats.org/officeDocument/2006/relationships/hyperlink" Target="https://www.anses.fr/fr/system/files/AP2022-AUTO-0077RA.pdf" TargetMode="External"/><Relationship Id="rId48" Type="http://schemas.openxmlformats.org/officeDocument/2006/relationships/hyperlink" Target="https://eur-lex.europa.eu/legal-content/FR/TXT/PDF/?uri=OJ:L_202590525" TargetMode="External"/><Relationship Id="rId56" Type="http://schemas.openxmlformats.org/officeDocument/2006/relationships/hyperlink" Target="https://eur-lex.europa.eu/legal-content/FR/TXT/PDF/?uri=OJ:L_202501160" TargetMode="External"/><Relationship Id="rId64" Type="http://schemas.openxmlformats.org/officeDocument/2006/relationships/header" Target="header3.xml"/><Relationship Id="rId8" Type="http://schemas.openxmlformats.org/officeDocument/2006/relationships/hyperlink" Target="https://www.legifrance.gouv.fr/jorf/id/JORFTEXT000051715010" TargetMode="External"/><Relationship Id="rId51" Type="http://schemas.openxmlformats.org/officeDocument/2006/relationships/hyperlink" Target="https://info.agriculture.gouv.fr/boagri/document_administratif-cc2cba57-c210-4cec-8f97-dd47982bb610" TargetMode="External"/><Relationship Id="rId3" Type="http://schemas.openxmlformats.org/officeDocument/2006/relationships/settings" Target="settings.xml"/><Relationship Id="rId12" Type="http://schemas.openxmlformats.org/officeDocument/2006/relationships/hyperlink" Target="https://info.agriculture.gouv.fr/boagri/instruction-2025-414" TargetMode="External"/><Relationship Id="rId17" Type="http://schemas.openxmlformats.org/officeDocument/2006/relationships/hyperlink" Target="https://eur-lex.europa.eu/legal-content/FR/TXT/PDF/?uri=OJ:C_202503004" TargetMode="External"/><Relationship Id="rId25" Type="http://schemas.openxmlformats.org/officeDocument/2006/relationships/hyperlink" Target="https://eur-lex.europa.eu/legal-content/FR/TXT/PDF/?uri=OJ:L_202501222" TargetMode="External"/><Relationship Id="rId33" Type="http://schemas.openxmlformats.org/officeDocument/2006/relationships/hyperlink" Target="https://www.legifrance.gouv.fr/jorf/id/JORFTEXT000051725138" TargetMode="External"/><Relationship Id="rId38" Type="http://schemas.openxmlformats.org/officeDocument/2006/relationships/hyperlink" Target="https://eur-lex.europa.eu/legal-content/FR/TXT/PDF/?uri=OJ:L_202501102" TargetMode="External"/><Relationship Id="rId46" Type="http://schemas.openxmlformats.org/officeDocument/2006/relationships/hyperlink" Target="https://eur-lex.europa.eu/legal-content/FR/TXT/PDF/?uri=OJ:L_202501221" TargetMode="External"/><Relationship Id="rId59" Type="http://schemas.openxmlformats.org/officeDocument/2006/relationships/hyperlink" Target="https://eur-lex.europa.eu/legal-content/FR/TXT/PDF/?uri=OJ:L_20250126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evesque\OneDrive%20-%20Critt%20Agroalimentaire%20PACA\Documents\Mod&#232;les%20Office%20personnalis&#233;s\Mod&#232;le%20bulletin%20veille%20perso%20202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bulletin veille perso 2025.dotx</Template>
  <TotalTime>1</TotalTime>
  <Pages>6</Pages>
  <Words>3090</Words>
  <Characters>16996</Characters>
  <Application>Microsoft Office Word</Application>
  <DocSecurity>0</DocSecurity>
  <Lines>141</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Levesque</dc:creator>
  <cp:keywords/>
  <dc:description/>
  <cp:lastModifiedBy>Sylvie LEMAITRE</cp:lastModifiedBy>
  <cp:revision>2</cp:revision>
  <dcterms:created xsi:type="dcterms:W3CDTF">2025-09-05T08:28:00Z</dcterms:created>
  <dcterms:modified xsi:type="dcterms:W3CDTF">2025-09-05T08:28:00Z</dcterms:modified>
</cp:coreProperties>
</file>