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A11EB" w:rsidRDefault="00565439" w:rsidP="00E4798F">
      <w:pPr>
        <w:pStyle w:val="Corpsdetexte21"/>
        <w:pBdr>
          <w:top w:val="single" w:sz="4" w:space="1" w:color="000000"/>
          <w:left w:val="single" w:sz="4" w:space="4" w:color="000000"/>
          <w:bottom w:val="single" w:sz="4" w:space="1" w:color="000000"/>
          <w:right w:val="single" w:sz="4" w:space="4" w:color="000000"/>
        </w:pBdr>
        <w:shd w:val="clear" w:color="auto" w:fill="F2F2F2"/>
        <w:spacing w:after="0" w:line="240" w:lineRule="auto"/>
        <w:contextualSpacing/>
        <w:jc w:val="both"/>
      </w:pPr>
      <w:r>
        <w:rPr>
          <w:rFonts w:ascii="Liberation Sans" w:hAnsi="Liberation Sans" w:cs="Liberation Sans"/>
          <w:b/>
          <w:bCs/>
        </w:rPr>
        <w:t xml:space="preserve">Projet d’arrêté modifiant l’arrêté du </w:t>
      </w:r>
      <w:r w:rsidR="00E4798F">
        <w:rPr>
          <w:rFonts w:ascii="Liberation Sans" w:hAnsi="Liberation Sans" w:cs="Liberation Sans"/>
          <w:b/>
          <w:bCs/>
        </w:rPr>
        <w:t>7</w:t>
      </w:r>
      <w:r>
        <w:rPr>
          <w:rFonts w:ascii="Liberation Sans" w:hAnsi="Liberation Sans" w:cs="Liberation Sans"/>
          <w:b/>
          <w:bCs/>
        </w:rPr>
        <w:t xml:space="preserve"> décembre 202</w:t>
      </w:r>
      <w:r w:rsidR="00E4798F">
        <w:rPr>
          <w:rFonts w:ascii="Liberation Sans" w:hAnsi="Liberation Sans" w:cs="Liberation Sans"/>
          <w:b/>
          <w:bCs/>
        </w:rPr>
        <w:t>3</w:t>
      </w:r>
      <w:r>
        <w:rPr>
          <w:rFonts w:ascii="Liberation Sans" w:hAnsi="Liberation Sans" w:cs="Liberation Sans"/>
          <w:b/>
          <w:bCs/>
        </w:rPr>
        <w:t xml:space="preserve"> </w:t>
      </w:r>
      <w:r w:rsidR="00E4798F" w:rsidRPr="00E4798F">
        <w:rPr>
          <w:rFonts w:ascii="Liberation Sans" w:hAnsi="Liberation Sans" w:cs="Liberation Sans"/>
          <w:b/>
          <w:bCs/>
        </w:rPr>
        <w:t>portant cahier des charges des éco-organismes et des systèmes individuels de la filière à responsabilité élargie des producteurs des emballages ménagers, des imprimés papiers et des papiers à usage graphique</w:t>
      </w:r>
    </w:p>
    <w:p w:rsidR="003A11EB" w:rsidRDefault="003A11EB">
      <w:pPr>
        <w:jc w:val="both"/>
      </w:pPr>
    </w:p>
    <w:p w:rsidR="003A11EB" w:rsidRDefault="00565439">
      <w:pPr>
        <w:jc w:val="both"/>
      </w:pPr>
      <w:r>
        <w:t>La présente consultation est réalisée en application de l’article L. 123-19-1 du code de l’environnement pour la mise en œuvre du principe de participation du public aux décisions publiques ayant une incidence sur l’environnement prévu à l’article 7 de la Charte de l’environnement, à partir du 1</w:t>
      </w:r>
      <w:r w:rsidR="00903F1E">
        <w:t>3</w:t>
      </w:r>
      <w:r>
        <w:t xml:space="preserve"> août jusqu’au 1</w:t>
      </w:r>
      <w:r w:rsidR="00903F1E">
        <w:t>1</w:t>
      </w:r>
      <w:bookmarkStart w:id="0" w:name="_GoBack"/>
      <w:bookmarkEnd w:id="0"/>
      <w:r>
        <w:t xml:space="preserve"> septembre inclus.</w:t>
      </w:r>
    </w:p>
    <w:p w:rsidR="003A11EB" w:rsidRDefault="003A11EB">
      <w:pPr>
        <w:jc w:val="both"/>
      </w:pPr>
    </w:p>
    <w:p w:rsidR="003A11EB" w:rsidRDefault="00565439">
      <w:pPr>
        <w:jc w:val="both"/>
      </w:pPr>
      <w:r>
        <w:t xml:space="preserve">Cette consultation a pour objet de modifier l’arrêté du </w:t>
      </w:r>
      <w:r w:rsidR="00E4798F">
        <w:t>7</w:t>
      </w:r>
      <w:r>
        <w:t xml:space="preserve"> décembre 202</w:t>
      </w:r>
      <w:r w:rsidR="00E4798F">
        <w:t>3</w:t>
      </w:r>
      <w:r>
        <w:t xml:space="preserve"> </w:t>
      </w:r>
      <w:r w:rsidR="00E4798F" w:rsidRPr="00E4798F">
        <w:t>portant cahier des charges des éco-organismes et des systèmes individuels de la filière à responsabilité élargie des producteurs des emballages ménagers, des imprimés papiers et des papiers à usage graphique</w:t>
      </w:r>
      <w:r w:rsidR="00E4798F">
        <w:t>.</w:t>
      </w:r>
    </w:p>
    <w:p w:rsidR="00E4798F" w:rsidRDefault="00E4798F">
      <w:pPr>
        <w:jc w:val="both"/>
      </w:pPr>
    </w:p>
    <w:p w:rsidR="00E4798F" w:rsidRDefault="00E4798F" w:rsidP="00E4798F">
      <w:pPr>
        <w:jc w:val="center"/>
      </w:pPr>
      <w:r>
        <w:t>***</w:t>
      </w:r>
    </w:p>
    <w:p w:rsidR="003A11EB" w:rsidRDefault="003A11EB">
      <w:pPr>
        <w:jc w:val="both"/>
      </w:pPr>
    </w:p>
    <w:p w:rsidR="00394A5F" w:rsidRDefault="00565439">
      <w:pPr>
        <w:jc w:val="both"/>
      </w:pPr>
      <w:r>
        <w:t xml:space="preserve">La filière à responsabilité élargie du producteur des </w:t>
      </w:r>
      <w:r w:rsidR="00394A5F" w:rsidRPr="00394A5F">
        <w:t>emballages ménagers, des imprimés papiers e</w:t>
      </w:r>
      <w:r w:rsidR="00394A5F">
        <w:t xml:space="preserve">t des papiers à usage graphique est actuellement encadrée par les dispositions de l’arrêté ministériel du 7 décembre 2023 portant </w:t>
      </w:r>
      <w:r w:rsidR="00394A5F" w:rsidRPr="00394A5F">
        <w:t>cahier des charges des éco-organismes et des systèmes individuels de la filière à responsabilité élargie des producteurs des emballages ménagers, des imprimés papiers et des papiers à usage graphique</w:t>
      </w:r>
      <w:r w:rsidR="00394A5F">
        <w:t>.</w:t>
      </w:r>
    </w:p>
    <w:p w:rsidR="00CD16FD" w:rsidRDefault="00CD16FD">
      <w:pPr>
        <w:jc w:val="both"/>
      </w:pPr>
    </w:p>
    <w:p w:rsidR="00CD16FD" w:rsidRDefault="00CD16FD">
      <w:pPr>
        <w:jc w:val="both"/>
      </w:pPr>
      <w:r>
        <w:t>A l’issue du Conseil de planification écologique (CPE) réuni le 19 juin, qui a validé le lancement du plan Plastique, une concertation nationale a été initiée, pour structurer une filière d’économie circulaire plus performante sur le plastique.</w:t>
      </w:r>
    </w:p>
    <w:p w:rsidR="00CD16FD" w:rsidRDefault="00CD16FD">
      <w:pPr>
        <w:jc w:val="both"/>
      </w:pPr>
    </w:p>
    <w:p w:rsidR="00CD16FD" w:rsidRDefault="00CD16FD">
      <w:pPr>
        <w:jc w:val="both"/>
      </w:pPr>
      <w:r>
        <w:t xml:space="preserve">Ce plan s’articule autour de trois axes, complémentaires entre eux : </w:t>
      </w:r>
    </w:p>
    <w:p w:rsidR="00394A5F" w:rsidRDefault="00394A5F">
      <w:pPr>
        <w:jc w:val="both"/>
      </w:pPr>
    </w:p>
    <w:p w:rsidR="00CD16FD" w:rsidRDefault="00CD16FD" w:rsidP="00CD16FD">
      <w:pPr>
        <w:pStyle w:val="Paragraphedeliste"/>
        <w:numPr>
          <w:ilvl w:val="0"/>
          <w:numId w:val="9"/>
        </w:numPr>
        <w:jc w:val="both"/>
      </w:pPr>
      <w:r>
        <w:t>La sobriété : réduire les emballages inutiles, accélérer l’écoconception et développer des alternatives durables car le meilleur des plastiques, c’est celui que l’on ne produit pas ;</w:t>
      </w:r>
    </w:p>
    <w:p w:rsidR="00CD16FD" w:rsidRDefault="00CD16FD" w:rsidP="00CD16FD">
      <w:pPr>
        <w:pStyle w:val="Paragraphedeliste"/>
        <w:numPr>
          <w:ilvl w:val="0"/>
          <w:numId w:val="9"/>
        </w:numPr>
        <w:jc w:val="both"/>
      </w:pPr>
      <w:r>
        <w:t xml:space="preserve">Le réemploi : construire une filière industrielle française avec des standards communs, des infrastructures adaptées et des modèles économiques pérennes ; </w:t>
      </w:r>
    </w:p>
    <w:p w:rsidR="00CD16FD" w:rsidRDefault="00CD16FD" w:rsidP="00CD16FD">
      <w:pPr>
        <w:pStyle w:val="Paragraphedeliste"/>
        <w:numPr>
          <w:ilvl w:val="0"/>
          <w:numId w:val="9"/>
        </w:numPr>
        <w:jc w:val="both"/>
      </w:pPr>
      <w:r>
        <w:t>Le recyclage : renforcer les capacités de collecte, tri et incorporation de matières recyclées.</w:t>
      </w:r>
    </w:p>
    <w:p w:rsidR="00CD16FD" w:rsidRDefault="00CD16FD">
      <w:pPr>
        <w:jc w:val="both"/>
      </w:pPr>
    </w:p>
    <w:p w:rsidR="00CD16FD" w:rsidRDefault="00CD16FD">
      <w:pPr>
        <w:jc w:val="both"/>
      </w:pPr>
      <w:r>
        <w:t xml:space="preserve">Le cahier des charges de la filière </w:t>
      </w:r>
      <w:r w:rsidRPr="00CD16FD">
        <w:t>à responsabilité élargie des producteurs des emballages ménagers, des imprimés papiers et des papiers à usage graphique</w:t>
      </w:r>
      <w:r>
        <w:t xml:space="preserve"> constitue l’un des outils réglementaires permettant de </w:t>
      </w:r>
      <w:r w:rsidR="00565439">
        <w:t>décliner opérationnellement ces trois axes.</w:t>
      </w:r>
    </w:p>
    <w:p w:rsidR="00565439" w:rsidRDefault="00565439">
      <w:pPr>
        <w:jc w:val="both"/>
      </w:pPr>
    </w:p>
    <w:p w:rsidR="00565439" w:rsidRDefault="00565439">
      <w:pPr>
        <w:jc w:val="both"/>
      </w:pPr>
      <w:r>
        <w:t xml:space="preserve">Le présent projet d’arrêté a donc pour objet de modifier l’arrêté du 7 décembre 2023 portant </w:t>
      </w:r>
      <w:r w:rsidRPr="00565439">
        <w:t xml:space="preserve">cahier des charges des éco-organismes et des systèmes individuels de la filière à responsabilité élargie des producteurs des emballages ménagers, des imprimés papiers et des papiers à usage </w:t>
      </w:r>
      <w:proofErr w:type="gramStart"/>
      <w:r w:rsidRPr="00565439">
        <w:t>graphique</w:t>
      </w:r>
      <w:proofErr w:type="gramEnd"/>
      <w:r w:rsidRPr="00565439">
        <w:t>.</w:t>
      </w:r>
      <w:r>
        <w:t xml:space="preserve"> Il comporte à cet effet trois articles :</w:t>
      </w:r>
    </w:p>
    <w:p w:rsidR="00565439" w:rsidRDefault="00565439" w:rsidP="00565439">
      <w:pPr>
        <w:pStyle w:val="Paragraphedeliste"/>
        <w:numPr>
          <w:ilvl w:val="0"/>
          <w:numId w:val="10"/>
        </w:numPr>
        <w:jc w:val="both"/>
      </w:pPr>
      <w:r>
        <w:t>L’article 1</w:t>
      </w:r>
      <w:r w:rsidRPr="00565439">
        <w:rPr>
          <w:vertAlign w:val="superscript"/>
        </w:rPr>
        <w:t>er</w:t>
      </w:r>
      <w:r>
        <w:t xml:space="preserve"> précise que les cahiers des charges figurant en annexes de l’arrêté du 7 décembre 2023 sont remplacés par les annexes figurant au projet d’arrêté ;</w:t>
      </w:r>
    </w:p>
    <w:p w:rsidR="00E4798F" w:rsidRPr="00F30768" w:rsidRDefault="00565439" w:rsidP="00B61AD3">
      <w:pPr>
        <w:pStyle w:val="Paragraphedeliste"/>
        <w:numPr>
          <w:ilvl w:val="0"/>
          <w:numId w:val="10"/>
        </w:numPr>
        <w:jc w:val="both"/>
        <w:rPr>
          <w:i/>
          <w:iCs/>
        </w:rPr>
      </w:pPr>
      <w:r>
        <w:t>L’article 2 prévoit, d’une part, que les nouvelles dispositions entrent en vigueur le 1</w:t>
      </w:r>
      <w:r w:rsidRPr="00F30768">
        <w:rPr>
          <w:vertAlign w:val="superscript"/>
        </w:rPr>
        <w:t>er</w:t>
      </w:r>
      <w:r>
        <w:t xml:space="preserve"> janvier 2027 et, d’autre part, que l</w:t>
      </w:r>
      <w:r w:rsidRPr="00565439">
        <w:t xml:space="preserve">es éco-organismes </w:t>
      </w:r>
      <w:r>
        <w:t>agréés pour les emball</w:t>
      </w:r>
      <w:r w:rsidR="00F30768">
        <w:t>a</w:t>
      </w:r>
      <w:r>
        <w:t xml:space="preserve">ges ménagers </w:t>
      </w:r>
      <w:r w:rsidRPr="00565439">
        <w:t>dispose</w:t>
      </w:r>
      <w:r w:rsidR="00F30768">
        <w:t>ro</w:t>
      </w:r>
      <w:r w:rsidRPr="00565439">
        <w:t>nt d'un délai de trois mois, à compter de la date de publication d</w:t>
      </w:r>
      <w:r w:rsidR="00F30768">
        <w:t>e cet arrêté</w:t>
      </w:r>
      <w:r w:rsidRPr="00565439">
        <w:t xml:space="preserve">, pour présenter à l'autorité administrative les compléments à son dossier de </w:t>
      </w:r>
      <w:r w:rsidRPr="00565439">
        <w:lastRenderedPageBreak/>
        <w:t xml:space="preserve">demande d'agrément en ce qui concerne les dispositions </w:t>
      </w:r>
      <w:r w:rsidR="00F30768">
        <w:t>du cahier des charges modifiées.</w:t>
      </w:r>
    </w:p>
    <w:p w:rsidR="00F30768" w:rsidRPr="00F30768" w:rsidRDefault="00F30768" w:rsidP="00B61AD3">
      <w:pPr>
        <w:pStyle w:val="Paragraphedeliste"/>
        <w:numPr>
          <w:ilvl w:val="0"/>
          <w:numId w:val="10"/>
        </w:numPr>
        <w:jc w:val="both"/>
        <w:rPr>
          <w:i/>
          <w:iCs/>
        </w:rPr>
      </w:pPr>
      <w:r>
        <w:t>L’article 3 est l’article d’exécution.</w:t>
      </w:r>
    </w:p>
    <w:p w:rsidR="00F30768" w:rsidRDefault="00F30768" w:rsidP="00F30768">
      <w:pPr>
        <w:jc w:val="both"/>
        <w:rPr>
          <w:i/>
          <w:iCs/>
        </w:rPr>
      </w:pPr>
    </w:p>
    <w:p w:rsidR="00F30768" w:rsidRDefault="00735EDA" w:rsidP="00F30768">
      <w:pPr>
        <w:jc w:val="both"/>
        <w:rPr>
          <w:iCs/>
        </w:rPr>
      </w:pPr>
      <w:r>
        <w:rPr>
          <w:iCs/>
        </w:rPr>
        <w:t>Les principales modifications apportées au cahier des charges sont les suivantes :</w:t>
      </w:r>
    </w:p>
    <w:p w:rsidR="00735EDA" w:rsidRDefault="00735EDA" w:rsidP="00F30768">
      <w:pPr>
        <w:jc w:val="both"/>
        <w:rPr>
          <w:iCs/>
        </w:rPr>
      </w:pPr>
    </w:p>
    <w:p w:rsidR="00735EDA" w:rsidRPr="00735EDA" w:rsidRDefault="00735EDA" w:rsidP="00735EDA">
      <w:pPr>
        <w:pStyle w:val="Paragraphedeliste"/>
        <w:numPr>
          <w:ilvl w:val="0"/>
          <w:numId w:val="11"/>
        </w:numPr>
        <w:jc w:val="both"/>
        <w:rPr>
          <w:b/>
          <w:iCs/>
        </w:rPr>
      </w:pPr>
      <w:r w:rsidRPr="00735EDA">
        <w:rPr>
          <w:b/>
          <w:iCs/>
        </w:rPr>
        <w:t>Renforcement des éco-modulations</w:t>
      </w:r>
    </w:p>
    <w:p w:rsidR="00735EDA" w:rsidRDefault="00735EDA" w:rsidP="00735EDA">
      <w:pPr>
        <w:jc w:val="both"/>
        <w:rPr>
          <w:iCs/>
        </w:rPr>
      </w:pPr>
    </w:p>
    <w:p w:rsidR="00735EDA" w:rsidRDefault="00735EDA">
      <w:pPr>
        <w:pStyle w:val="Corpsdetexte"/>
        <w:spacing w:line="259" w:lineRule="auto"/>
        <w:ind w:right="109"/>
        <w:rPr>
          <w:i w:val="0"/>
          <w:iCs w:val="0"/>
        </w:rPr>
      </w:pPr>
      <w:r>
        <w:rPr>
          <w:i w:val="0"/>
          <w:iCs w:val="0"/>
        </w:rPr>
        <w:t xml:space="preserve">Afin de </w:t>
      </w:r>
      <w:r w:rsidRPr="00735EDA">
        <w:rPr>
          <w:i w:val="0"/>
          <w:iCs w:val="0"/>
        </w:rPr>
        <w:t xml:space="preserve">réduire les emballages inutiles, accélérer l’écoconception et développer des alternatives durables </w:t>
      </w:r>
      <w:r>
        <w:rPr>
          <w:i w:val="0"/>
          <w:iCs w:val="0"/>
        </w:rPr>
        <w:t>au plastique, deux évolutions principales sont prévues :</w:t>
      </w:r>
    </w:p>
    <w:p w:rsidR="00735EDA" w:rsidRPr="00735EDA" w:rsidRDefault="00735EDA" w:rsidP="00735EDA">
      <w:pPr>
        <w:pStyle w:val="Corpsdetexte"/>
        <w:spacing w:line="259" w:lineRule="auto"/>
        <w:ind w:right="109"/>
        <w:rPr>
          <w:i w:val="0"/>
          <w:iCs w:val="0"/>
        </w:rPr>
      </w:pPr>
      <w:r w:rsidRPr="00735EDA">
        <w:rPr>
          <w:i w:val="0"/>
          <w:iCs w:val="0"/>
        </w:rPr>
        <w:t>•</w:t>
      </w:r>
      <w:r w:rsidRPr="00735EDA">
        <w:rPr>
          <w:i w:val="0"/>
          <w:iCs w:val="0"/>
        </w:rPr>
        <w:tab/>
        <w:t xml:space="preserve"> </w:t>
      </w:r>
      <w:r>
        <w:rPr>
          <w:i w:val="0"/>
          <w:iCs w:val="0"/>
        </w:rPr>
        <w:t xml:space="preserve">le </w:t>
      </w:r>
      <w:r w:rsidRPr="00735EDA">
        <w:rPr>
          <w:i w:val="0"/>
          <w:iCs w:val="0"/>
        </w:rPr>
        <w:t xml:space="preserve">renforcement de la pénalité applicable aux </w:t>
      </w:r>
      <w:r>
        <w:rPr>
          <w:i w:val="0"/>
          <w:iCs w:val="0"/>
        </w:rPr>
        <w:t xml:space="preserve">emballages en plastique pour boisson de </w:t>
      </w:r>
      <w:r w:rsidRPr="00735EDA">
        <w:rPr>
          <w:i w:val="0"/>
          <w:iCs w:val="0"/>
        </w:rPr>
        <w:t>petit</w:t>
      </w:r>
      <w:r>
        <w:rPr>
          <w:i w:val="0"/>
          <w:iCs w:val="0"/>
        </w:rPr>
        <w:t xml:space="preserve"> format (emballages de </w:t>
      </w:r>
      <w:r w:rsidRPr="00735EDA">
        <w:rPr>
          <w:i w:val="0"/>
          <w:iCs w:val="0"/>
        </w:rPr>
        <w:t>0,5 litre ou moins (bouteilles et briques)</w:t>
      </w:r>
      <w:r>
        <w:rPr>
          <w:i w:val="0"/>
          <w:iCs w:val="0"/>
        </w:rPr>
        <w:t xml:space="preserve">, selon une trajectoire progressive </w:t>
      </w:r>
      <w:r w:rsidRPr="00735EDA">
        <w:rPr>
          <w:i w:val="0"/>
          <w:iCs w:val="0"/>
        </w:rPr>
        <w:t>;</w:t>
      </w:r>
    </w:p>
    <w:p w:rsidR="00735EDA" w:rsidRDefault="00735EDA" w:rsidP="00735EDA">
      <w:pPr>
        <w:pStyle w:val="Corpsdetexte"/>
        <w:spacing w:line="259" w:lineRule="auto"/>
        <w:ind w:right="109"/>
        <w:rPr>
          <w:i w:val="0"/>
          <w:iCs w:val="0"/>
        </w:rPr>
      </w:pPr>
      <w:r w:rsidRPr="00735EDA">
        <w:rPr>
          <w:i w:val="0"/>
          <w:iCs w:val="0"/>
        </w:rPr>
        <w:t>•</w:t>
      </w:r>
      <w:r w:rsidRPr="00735EDA">
        <w:rPr>
          <w:i w:val="0"/>
          <w:iCs w:val="0"/>
        </w:rPr>
        <w:tab/>
        <w:t xml:space="preserve">la création d’une pénalité </w:t>
      </w:r>
      <w:r>
        <w:rPr>
          <w:i w:val="0"/>
          <w:iCs w:val="0"/>
        </w:rPr>
        <w:t>sur</w:t>
      </w:r>
      <w:r w:rsidRPr="00735EDA">
        <w:rPr>
          <w:i w:val="0"/>
          <w:iCs w:val="0"/>
        </w:rPr>
        <w:t xml:space="preserve"> les emballages jugés inutiles ou excessifs.</w:t>
      </w:r>
    </w:p>
    <w:p w:rsidR="00735EDA" w:rsidRDefault="00735EDA">
      <w:pPr>
        <w:pStyle w:val="Corpsdetexte"/>
        <w:spacing w:line="259" w:lineRule="auto"/>
        <w:ind w:right="109"/>
        <w:rPr>
          <w:i w:val="0"/>
          <w:iCs w:val="0"/>
        </w:rPr>
      </w:pPr>
    </w:p>
    <w:p w:rsidR="00E4798F" w:rsidRDefault="00735EDA" w:rsidP="00735EDA">
      <w:pPr>
        <w:pStyle w:val="Corpsdetexte"/>
        <w:spacing w:line="259" w:lineRule="auto"/>
        <w:ind w:right="109"/>
        <w:rPr>
          <w:i w:val="0"/>
          <w:iCs w:val="0"/>
        </w:rPr>
      </w:pPr>
      <w:r>
        <w:rPr>
          <w:i w:val="0"/>
          <w:iCs w:val="0"/>
        </w:rPr>
        <w:t>Par ailleurs, pour</w:t>
      </w:r>
      <w:r w:rsidR="00E90921">
        <w:rPr>
          <w:i w:val="0"/>
          <w:iCs w:val="0"/>
        </w:rPr>
        <w:t xml:space="preserve"> </w:t>
      </w:r>
      <w:r>
        <w:rPr>
          <w:i w:val="0"/>
          <w:iCs w:val="0"/>
        </w:rPr>
        <w:t>améliorer les performances de recyclage</w:t>
      </w:r>
      <w:r w:rsidR="00E90921">
        <w:rPr>
          <w:i w:val="0"/>
          <w:iCs w:val="0"/>
        </w:rPr>
        <w:t xml:space="preserve"> des emballages en plastique au niveau national</w:t>
      </w:r>
      <w:r>
        <w:rPr>
          <w:i w:val="0"/>
          <w:iCs w:val="0"/>
        </w:rPr>
        <w:t xml:space="preserve">, une pénalité fondée </w:t>
      </w:r>
      <w:r w:rsidR="00E4798F" w:rsidRPr="00735EDA">
        <w:rPr>
          <w:i w:val="0"/>
          <w:iCs w:val="0"/>
        </w:rPr>
        <w:t xml:space="preserve">sur les performances </w:t>
      </w:r>
      <w:r w:rsidR="00E90921">
        <w:rPr>
          <w:i w:val="0"/>
          <w:iCs w:val="0"/>
        </w:rPr>
        <w:t>effective</w:t>
      </w:r>
      <w:r w:rsidR="00E4798F" w:rsidRPr="00735EDA">
        <w:rPr>
          <w:i w:val="0"/>
          <w:iCs w:val="0"/>
        </w:rPr>
        <w:t xml:space="preserve">s de recyclage des emballages </w:t>
      </w:r>
      <w:r w:rsidR="00E90921">
        <w:rPr>
          <w:i w:val="0"/>
          <w:iCs w:val="0"/>
        </w:rPr>
        <w:t xml:space="preserve">en </w:t>
      </w:r>
      <w:r w:rsidR="00E4798F" w:rsidRPr="00735EDA">
        <w:rPr>
          <w:i w:val="0"/>
          <w:iCs w:val="0"/>
        </w:rPr>
        <w:t>plastique</w:t>
      </w:r>
      <w:r w:rsidR="00E90921">
        <w:rPr>
          <w:i w:val="0"/>
          <w:iCs w:val="0"/>
        </w:rPr>
        <w:t xml:space="preserve">, déclinée par résines et catégories d’emballages en plastique, </w:t>
      </w:r>
      <w:r w:rsidRPr="00735EDA">
        <w:rPr>
          <w:i w:val="0"/>
          <w:iCs w:val="0"/>
        </w:rPr>
        <w:t>est introduite.</w:t>
      </w:r>
    </w:p>
    <w:p w:rsidR="00E90921" w:rsidRDefault="00E90921" w:rsidP="00735EDA">
      <w:pPr>
        <w:pStyle w:val="Corpsdetexte"/>
        <w:spacing w:line="259" w:lineRule="auto"/>
        <w:ind w:right="109"/>
        <w:rPr>
          <w:i w:val="0"/>
          <w:iCs w:val="0"/>
        </w:rPr>
      </w:pPr>
    </w:p>
    <w:p w:rsidR="00E90921" w:rsidRDefault="00E90921" w:rsidP="00735EDA">
      <w:pPr>
        <w:pStyle w:val="Corpsdetexte"/>
        <w:spacing w:line="259" w:lineRule="auto"/>
        <w:ind w:right="109"/>
        <w:rPr>
          <w:i w:val="0"/>
          <w:iCs w:val="0"/>
        </w:rPr>
      </w:pPr>
      <w:r w:rsidRPr="00B61AD3">
        <w:rPr>
          <w:i w:val="0"/>
          <w:iCs w:val="0"/>
        </w:rPr>
        <w:t>Le régime actuel des majorations tarifaires est par ailleurs explicité.</w:t>
      </w:r>
    </w:p>
    <w:p w:rsidR="00E90921" w:rsidRDefault="00E90921" w:rsidP="00735EDA">
      <w:pPr>
        <w:pStyle w:val="Corpsdetexte"/>
        <w:spacing w:line="259" w:lineRule="auto"/>
        <w:ind w:right="109"/>
        <w:rPr>
          <w:i w:val="0"/>
          <w:iCs w:val="0"/>
        </w:rPr>
      </w:pPr>
    </w:p>
    <w:p w:rsidR="00E90921" w:rsidRPr="00E90921" w:rsidRDefault="00E90921" w:rsidP="00E90921">
      <w:pPr>
        <w:pStyle w:val="Corpsdetexte"/>
        <w:numPr>
          <w:ilvl w:val="0"/>
          <w:numId w:val="11"/>
        </w:numPr>
        <w:spacing w:line="259" w:lineRule="auto"/>
        <w:ind w:right="109"/>
        <w:rPr>
          <w:b/>
          <w:i w:val="0"/>
          <w:iCs w:val="0"/>
        </w:rPr>
      </w:pPr>
      <w:r w:rsidRPr="00E90921">
        <w:rPr>
          <w:b/>
          <w:i w:val="0"/>
          <w:iCs w:val="0"/>
        </w:rPr>
        <w:t>Organiser le passage à l’échelle du réemploi</w:t>
      </w:r>
    </w:p>
    <w:p w:rsidR="00E90921" w:rsidRPr="00E90921" w:rsidRDefault="00E90921" w:rsidP="00735EDA">
      <w:pPr>
        <w:pStyle w:val="Corpsdetexte"/>
        <w:spacing w:line="259" w:lineRule="auto"/>
        <w:ind w:right="109"/>
        <w:rPr>
          <w:i w:val="0"/>
          <w:iCs w:val="0"/>
        </w:rPr>
      </w:pPr>
    </w:p>
    <w:p w:rsidR="00E4798F" w:rsidRDefault="00E90921" w:rsidP="00E90921">
      <w:pPr>
        <w:pStyle w:val="Corpsdetexte"/>
        <w:spacing w:line="259" w:lineRule="auto"/>
        <w:ind w:right="109"/>
        <w:rPr>
          <w:i w:val="0"/>
          <w:lang w:eastAsia="fr-FR"/>
        </w:rPr>
      </w:pPr>
      <w:r w:rsidRPr="00E90921">
        <w:rPr>
          <w:i w:val="0"/>
          <w:iCs w:val="0"/>
        </w:rPr>
        <w:t>Les dispositions relatives au s</w:t>
      </w:r>
      <w:r w:rsidR="00E4798F" w:rsidRPr="00E90921">
        <w:rPr>
          <w:i w:val="0"/>
          <w:lang w:eastAsia="fr-FR"/>
        </w:rPr>
        <w:t>outien au développement de solutions de réemploi et de réutilisation des emballages ménagers</w:t>
      </w:r>
      <w:r w:rsidRPr="00E90921">
        <w:rPr>
          <w:i w:val="0"/>
          <w:lang w:eastAsia="fr-FR"/>
        </w:rPr>
        <w:t xml:space="preserve"> (enveloppe de 5 %) sont modifiées afin notamment de </w:t>
      </w:r>
      <w:r w:rsidR="00E4798F" w:rsidRPr="00E90921">
        <w:rPr>
          <w:i w:val="0"/>
          <w:lang w:eastAsia="fr-FR"/>
        </w:rPr>
        <w:t>clarifier les catégories de dépenses éligibles</w:t>
      </w:r>
      <w:r>
        <w:rPr>
          <w:i w:val="0"/>
          <w:lang w:eastAsia="fr-FR"/>
        </w:rPr>
        <w:t xml:space="preserve"> et les acteurs concernés.</w:t>
      </w:r>
    </w:p>
    <w:p w:rsidR="00E90921" w:rsidRDefault="00E90921" w:rsidP="00E90921">
      <w:pPr>
        <w:pStyle w:val="Corpsdetexte"/>
        <w:spacing w:line="259" w:lineRule="auto"/>
        <w:ind w:right="109"/>
        <w:rPr>
          <w:i w:val="0"/>
          <w:lang w:eastAsia="fr-FR"/>
        </w:rPr>
      </w:pPr>
    </w:p>
    <w:p w:rsidR="00E90921" w:rsidRDefault="00E90921" w:rsidP="00E90921">
      <w:pPr>
        <w:pStyle w:val="Corpsdetexte"/>
        <w:spacing w:line="259" w:lineRule="auto"/>
        <w:ind w:right="109"/>
        <w:rPr>
          <w:i w:val="0"/>
          <w:lang w:eastAsia="fr-FR"/>
        </w:rPr>
      </w:pPr>
      <w:r>
        <w:rPr>
          <w:i w:val="0"/>
          <w:lang w:eastAsia="fr-FR"/>
        </w:rPr>
        <w:t>Le principe d’un déploiement au niveau national un dispositif de réemploi et les modalités générales pour y parvenir sont introduits.</w:t>
      </w:r>
    </w:p>
    <w:p w:rsidR="00E90921" w:rsidRDefault="00E90921" w:rsidP="00E90921">
      <w:pPr>
        <w:pStyle w:val="Corpsdetexte"/>
        <w:spacing w:line="259" w:lineRule="auto"/>
        <w:ind w:right="109"/>
        <w:rPr>
          <w:i w:val="0"/>
          <w:lang w:eastAsia="fr-FR"/>
        </w:rPr>
      </w:pPr>
    </w:p>
    <w:p w:rsidR="00E4798F" w:rsidRDefault="00B61AD3" w:rsidP="00B61AD3">
      <w:pPr>
        <w:jc w:val="both"/>
        <w:rPr>
          <w:lang w:eastAsia="fr-FR"/>
        </w:rPr>
      </w:pPr>
      <w:r>
        <w:rPr>
          <w:lang w:eastAsia="fr-FR"/>
        </w:rPr>
        <w:t>Enfin, le projet de cahier des charges prévoit une enveloppe de 50 millions d’euros pour l’année 2027 à consacrer au réemploi à travers des soutiens de fonctionnement. Cette enveloppe, complémentaire à l’enveloppe de 5 %, est nécessaire pour accompagner l’ensemble de la chaine de valeur dans le passage à l’échelle.</w:t>
      </w:r>
    </w:p>
    <w:p w:rsidR="00B61AD3" w:rsidRDefault="00B61AD3" w:rsidP="00E90921">
      <w:pPr>
        <w:rPr>
          <w:lang w:eastAsia="fr-FR"/>
        </w:rPr>
      </w:pPr>
    </w:p>
    <w:p w:rsidR="00B61AD3" w:rsidRPr="00B61AD3" w:rsidRDefault="00B61AD3" w:rsidP="00B61AD3">
      <w:pPr>
        <w:pStyle w:val="Paragraphedeliste"/>
        <w:numPr>
          <w:ilvl w:val="0"/>
          <w:numId w:val="11"/>
        </w:numPr>
        <w:jc w:val="both"/>
        <w:rPr>
          <w:b/>
          <w:lang w:eastAsia="fr-FR"/>
        </w:rPr>
      </w:pPr>
      <w:r w:rsidRPr="00B61AD3">
        <w:rPr>
          <w:b/>
          <w:lang w:eastAsia="fr-FR"/>
        </w:rPr>
        <w:t>Améliorer le recyclage grâce au déploiement des leviers efficients dans les territoires</w:t>
      </w:r>
    </w:p>
    <w:p w:rsidR="00B61AD3" w:rsidRDefault="00B61AD3" w:rsidP="00E90921">
      <w:pPr>
        <w:rPr>
          <w:lang w:eastAsia="fr-FR"/>
        </w:rPr>
      </w:pPr>
    </w:p>
    <w:p w:rsidR="00E4798F" w:rsidRPr="00730969" w:rsidRDefault="00B61AD3" w:rsidP="001B7D27">
      <w:pPr>
        <w:jc w:val="both"/>
        <w:rPr>
          <w:lang w:eastAsia="fr-FR"/>
        </w:rPr>
      </w:pPr>
      <w:r w:rsidRPr="00730969">
        <w:rPr>
          <w:lang w:eastAsia="fr-FR"/>
        </w:rPr>
        <w:t>Le projet de cahier des charges introduit</w:t>
      </w:r>
      <w:r w:rsidR="00730969" w:rsidRPr="00730969">
        <w:rPr>
          <w:lang w:eastAsia="fr-FR"/>
        </w:rPr>
        <w:t xml:space="preserve"> la possibilité, à partir du 1er janvier 2028, d’une </w:t>
      </w:r>
      <w:r w:rsidR="00E4798F" w:rsidRPr="00730969">
        <w:rPr>
          <w:lang w:eastAsia="fr-FR"/>
        </w:rPr>
        <w:t>contractualisation distincte selon les compéten</w:t>
      </w:r>
      <w:r w:rsidR="00730969" w:rsidRPr="00730969">
        <w:rPr>
          <w:lang w:eastAsia="fr-FR"/>
        </w:rPr>
        <w:t>ces exercées (collecte ou tri).</w:t>
      </w:r>
    </w:p>
    <w:p w:rsidR="00730969" w:rsidRPr="00730969" w:rsidRDefault="00730969" w:rsidP="00730969">
      <w:pPr>
        <w:rPr>
          <w:lang w:eastAsia="fr-FR"/>
        </w:rPr>
      </w:pPr>
    </w:p>
    <w:p w:rsidR="00730969" w:rsidRDefault="00730969" w:rsidP="00730969">
      <w:pPr>
        <w:jc w:val="both"/>
        <w:rPr>
          <w:lang w:eastAsia="fr-FR"/>
        </w:rPr>
      </w:pPr>
      <w:r w:rsidRPr="00730969">
        <w:rPr>
          <w:lang w:eastAsia="fr-FR"/>
        </w:rPr>
        <w:t xml:space="preserve">Il introduit également un « contrat individualité </w:t>
      </w:r>
      <w:r w:rsidR="00E4798F" w:rsidRPr="00730969">
        <w:rPr>
          <w:lang w:eastAsia="fr-FR"/>
        </w:rPr>
        <w:t>pour l’atteinte des objectifs</w:t>
      </w:r>
      <w:r w:rsidRPr="00730969">
        <w:rPr>
          <w:lang w:eastAsia="fr-FR"/>
        </w:rPr>
        <w:t> »</w:t>
      </w:r>
      <w:r>
        <w:rPr>
          <w:lang w:eastAsia="fr-FR"/>
        </w:rPr>
        <w:t> : é</w:t>
      </w:r>
      <w:r w:rsidR="00E4798F" w:rsidRPr="00730969">
        <w:rPr>
          <w:lang w:eastAsia="fr-FR"/>
        </w:rPr>
        <w:t xml:space="preserve">tabli à partir d’un diagnostic territorial partagé entre la collectivité et l’éco-organisme, ce contrat </w:t>
      </w:r>
      <w:r>
        <w:rPr>
          <w:lang w:eastAsia="fr-FR"/>
        </w:rPr>
        <w:t>a vocation à</w:t>
      </w:r>
      <w:r w:rsidR="00E4798F" w:rsidRPr="00730969">
        <w:rPr>
          <w:lang w:eastAsia="fr-FR"/>
        </w:rPr>
        <w:t xml:space="preserve"> mobiliser les leviers les plus adaptés aux caractéristiques locales</w:t>
      </w:r>
      <w:r>
        <w:rPr>
          <w:lang w:eastAsia="fr-FR"/>
        </w:rPr>
        <w:t>,</w:t>
      </w:r>
      <w:r w:rsidR="00E4798F" w:rsidRPr="00730969">
        <w:rPr>
          <w:lang w:eastAsia="fr-FR"/>
        </w:rPr>
        <w:t xml:space="preserve"> afin d’améliorer les performances de collecte et de tri.</w:t>
      </w:r>
      <w:r>
        <w:rPr>
          <w:lang w:eastAsia="fr-FR"/>
        </w:rPr>
        <w:t xml:space="preserve"> </w:t>
      </w:r>
    </w:p>
    <w:p w:rsidR="00730969" w:rsidRDefault="00730969" w:rsidP="00E368CE">
      <w:pPr>
        <w:jc w:val="both"/>
        <w:rPr>
          <w:lang w:eastAsia="fr-FR"/>
        </w:rPr>
      </w:pPr>
      <w:r>
        <w:rPr>
          <w:lang w:eastAsia="fr-FR"/>
        </w:rPr>
        <w:t xml:space="preserve">Il s’agira notamment de travailler sur l’amélioration des dispositifs de collecte (densification des points d’apport volontaire, amélioration de la collecte en porte-à-porte à travers </w:t>
      </w:r>
      <w:r>
        <w:rPr>
          <w:lang w:eastAsia="fr-FR"/>
        </w:rPr>
        <w:lastRenderedPageBreak/>
        <w:t xml:space="preserve">l’optimisation de la dotation en bacs de collecte, ajustement des fréquences de collecte, amélioration de la desserte des zones insuffisamment couvertes, etc.) et de tri (améliorer la captation des emballages et des papiers dans les centres de tri), le déploiement ou le renforcement des dispositifs </w:t>
      </w:r>
      <w:r w:rsidR="00E368CE">
        <w:rPr>
          <w:lang w:eastAsia="fr-FR"/>
        </w:rPr>
        <w:t>de tri dans les espaces publics, la mise en place de la tarification incitative, etc., ceci en fonction des territoires.</w:t>
      </w:r>
    </w:p>
    <w:p w:rsidR="00E368CE" w:rsidRDefault="00E368CE" w:rsidP="00E368CE">
      <w:pPr>
        <w:jc w:val="both"/>
        <w:rPr>
          <w:lang w:eastAsia="fr-FR"/>
        </w:rPr>
      </w:pPr>
    </w:p>
    <w:p w:rsidR="00E4798F" w:rsidRDefault="00E368CE" w:rsidP="00E368CE">
      <w:pPr>
        <w:jc w:val="both"/>
        <w:rPr>
          <w:lang w:eastAsia="fr-FR"/>
        </w:rPr>
      </w:pPr>
      <w:r>
        <w:rPr>
          <w:lang w:eastAsia="fr-FR"/>
        </w:rPr>
        <w:t>Le</w:t>
      </w:r>
      <w:r w:rsidR="00730969">
        <w:rPr>
          <w:lang w:eastAsia="fr-FR"/>
        </w:rPr>
        <w:t xml:space="preserve"> déploiement </w:t>
      </w:r>
      <w:r>
        <w:rPr>
          <w:lang w:eastAsia="fr-FR"/>
        </w:rPr>
        <w:t xml:space="preserve">de ce contrat </w:t>
      </w:r>
      <w:r w:rsidR="00730969">
        <w:rPr>
          <w:lang w:eastAsia="fr-FR"/>
        </w:rPr>
        <w:t xml:space="preserve">au niveau national est assuré par une enveloppe annuelle de 150 M€ </w:t>
      </w:r>
      <w:r w:rsidR="00E4798F" w:rsidRPr="00730969">
        <w:rPr>
          <w:lang w:eastAsia="fr-FR"/>
        </w:rPr>
        <w:t>pour la période 2027-2029</w:t>
      </w:r>
      <w:r>
        <w:rPr>
          <w:lang w:eastAsia="fr-FR"/>
        </w:rPr>
        <w:t>. Cette enveloppe fixe sera complétée, sur la base d’éléments fournis par l’ADEME, en lien avec l’atteinte des objectifs de recyclage.</w:t>
      </w:r>
    </w:p>
    <w:p w:rsidR="00E368CE" w:rsidRDefault="00E368CE" w:rsidP="00E368CE">
      <w:pPr>
        <w:jc w:val="both"/>
        <w:rPr>
          <w:lang w:eastAsia="fr-FR"/>
        </w:rPr>
      </w:pPr>
    </w:p>
    <w:p w:rsidR="00E368CE" w:rsidRDefault="001D1D5F" w:rsidP="00E368CE">
      <w:pPr>
        <w:jc w:val="both"/>
        <w:rPr>
          <w:lang w:eastAsia="fr-FR"/>
        </w:rPr>
      </w:pPr>
      <w:r>
        <w:rPr>
          <w:lang w:eastAsia="fr-FR"/>
        </w:rPr>
        <w:t>Le présent projet d’arrêté prévoit que l’éco-organisme peut intervenir de façon opérationnelle, à la demande des collectivités, sur les opérations de tri, ceci à partir du 1</w:t>
      </w:r>
      <w:r w:rsidRPr="001D1D5F">
        <w:rPr>
          <w:vertAlign w:val="superscript"/>
          <w:lang w:eastAsia="fr-FR"/>
        </w:rPr>
        <w:t>er</w:t>
      </w:r>
      <w:r>
        <w:rPr>
          <w:lang w:eastAsia="fr-FR"/>
        </w:rPr>
        <w:t xml:space="preserve"> janvier 2029.</w:t>
      </w:r>
    </w:p>
    <w:p w:rsidR="001D1D5F" w:rsidRDefault="001D1D5F" w:rsidP="00E368CE">
      <w:pPr>
        <w:jc w:val="both"/>
        <w:rPr>
          <w:lang w:eastAsia="fr-FR"/>
        </w:rPr>
      </w:pPr>
    </w:p>
    <w:p w:rsidR="001D1D5F" w:rsidRPr="001D1D5F" w:rsidRDefault="001D1D5F" w:rsidP="00E368CE">
      <w:pPr>
        <w:jc w:val="both"/>
        <w:rPr>
          <w:lang w:eastAsia="fr-FR"/>
        </w:rPr>
      </w:pPr>
      <w:r w:rsidRPr="001D1D5F">
        <w:rPr>
          <w:lang w:eastAsia="fr-FR"/>
        </w:rPr>
        <w:t>Le présent projet d’arrêté modifie en partie le barème de soutiens aux collectivités :</w:t>
      </w:r>
    </w:p>
    <w:p w:rsidR="001D1D5F" w:rsidRPr="001D1D5F" w:rsidRDefault="001D1D5F" w:rsidP="00E368CE">
      <w:pPr>
        <w:jc w:val="both"/>
        <w:rPr>
          <w:lang w:eastAsia="fr-FR"/>
        </w:rPr>
      </w:pPr>
      <w:r w:rsidRPr="001D1D5F">
        <w:rPr>
          <w:lang w:eastAsia="fr-FR"/>
        </w:rPr>
        <w:t>- intégration d’un soutien à la collecte et d’un soutien tri, en lien avec les nouvelles possibilités de contractualisation et en complément du soutien unitaire actuel (collecte et tri) ;</w:t>
      </w:r>
    </w:p>
    <w:p w:rsidR="001D1D5F" w:rsidRDefault="001D1D5F" w:rsidP="001D1D5F">
      <w:pPr>
        <w:jc w:val="both"/>
        <w:rPr>
          <w:lang w:eastAsia="fr-FR"/>
        </w:rPr>
      </w:pPr>
      <w:r w:rsidRPr="001D1D5F">
        <w:rPr>
          <w:lang w:eastAsia="fr-FR"/>
        </w:rPr>
        <w:t xml:space="preserve">- </w:t>
      </w:r>
      <w:r>
        <w:rPr>
          <w:lang w:eastAsia="fr-FR"/>
        </w:rPr>
        <w:t xml:space="preserve">suppression du </w:t>
      </w:r>
      <w:r w:rsidR="00E4798F" w:rsidRPr="001D1D5F">
        <w:rPr>
          <w:lang w:eastAsia="fr-FR"/>
        </w:rPr>
        <w:t xml:space="preserve">soutien à la performance </w:t>
      </w:r>
      <w:r>
        <w:rPr>
          <w:lang w:eastAsia="fr-FR"/>
        </w:rPr>
        <w:t xml:space="preserve">pour </w:t>
      </w:r>
      <w:r w:rsidR="00E4798F" w:rsidRPr="001D1D5F">
        <w:rPr>
          <w:lang w:eastAsia="fr-FR"/>
        </w:rPr>
        <w:t>recyclage (</w:t>
      </w:r>
      <w:proofErr w:type="spellStart"/>
      <w:r w:rsidR="00E4798F" w:rsidRPr="001D1D5F">
        <w:rPr>
          <w:lang w:eastAsia="fr-FR"/>
        </w:rPr>
        <w:t>S</w:t>
      </w:r>
      <w:r>
        <w:rPr>
          <w:lang w:eastAsia="fr-FR"/>
        </w:rPr>
        <w:t>p</w:t>
      </w:r>
      <w:r w:rsidR="00E4798F" w:rsidRPr="001D1D5F">
        <w:rPr>
          <w:lang w:eastAsia="fr-FR"/>
        </w:rPr>
        <w:t>R</w:t>
      </w:r>
      <w:proofErr w:type="spellEnd"/>
      <w:r w:rsidR="00E4798F" w:rsidRPr="001D1D5F">
        <w:rPr>
          <w:lang w:eastAsia="fr-FR"/>
        </w:rPr>
        <w:t xml:space="preserve">) </w:t>
      </w:r>
      <w:r>
        <w:rPr>
          <w:lang w:eastAsia="fr-FR"/>
        </w:rPr>
        <w:t>au profit d’</w:t>
      </w:r>
      <w:r w:rsidR="00E4798F" w:rsidRPr="001D1D5F">
        <w:rPr>
          <w:lang w:eastAsia="fr-FR"/>
        </w:rPr>
        <w:t>un soutien complémentaire à la performance par matériau</w:t>
      </w:r>
      <w:r w:rsidRPr="001D1D5F">
        <w:rPr>
          <w:lang w:eastAsia="fr-FR"/>
        </w:rPr>
        <w:t>, qui permet de couvrir les coûts moyens supplémentaires l</w:t>
      </w:r>
      <w:r>
        <w:rPr>
          <w:lang w:eastAsia="fr-FR"/>
        </w:rPr>
        <w:t>iés à une meilleure performance ;</w:t>
      </w:r>
    </w:p>
    <w:p w:rsidR="00E4798F" w:rsidRPr="0003071F" w:rsidRDefault="0003071F" w:rsidP="0003071F">
      <w:pPr>
        <w:jc w:val="both"/>
        <w:rPr>
          <w:lang w:eastAsia="fr-FR"/>
        </w:rPr>
      </w:pPr>
      <w:r>
        <w:rPr>
          <w:lang w:eastAsia="fr-FR"/>
        </w:rPr>
        <w:t xml:space="preserve">- introduction </w:t>
      </w:r>
      <w:r w:rsidRPr="0003071F">
        <w:rPr>
          <w:lang w:eastAsia="fr-FR"/>
        </w:rPr>
        <w:t>d’un s</w:t>
      </w:r>
      <w:r w:rsidR="00E4798F" w:rsidRPr="0003071F">
        <w:rPr>
          <w:lang w:eastAsia="fr-FR"/>
        </w:rPr>
        <w:t>outien exceptionnel à la progression des performances pour les matériaux plastique et aluminium</w:t>
      </w:r>
      <w:r w:rsidRPr="0003071F">
        <w:rPr>
          <w:lang w:eastAsia="fr-FR"/>
        </w:rPr>
        <w:t>, de 2027 à 2030 ;</w:t>
      </w:r>
    </w:p>
    <w:p w:rsidR="00E4798F" w:rsidRDefault="0003071F" w:rsidP="0003071F">
      <w:pPr>
        <w:jc w:val="both"/>
        <w:rPr>
          <w:lang w:eastAsia="fr-FR"/>
        </w:rPr>
      </w:pPr>
      <w:r w:rsidRPr="0003071F">
        <w:rPr>
          <w:lang w:eastAsia="fr-FR"/>
        </w:rPr>
        <w:t>Enfin, un soutien est prévu de 2027 à 2030 pour accompagner les collectivités dans la transition vers ce nouveau régime.</w:t>
      </w:r>
    </w:p>
    <w:p w:rsidR="001B7D27" w:rsidRDefault="001B7D27" w:rsidP="0003071F">
      <w:pPr>
        <w:jc w:val="both"/>
        <w:rPr>
          <w:lang w:eastAsia="fr-FR"/>
        </w:rPr>
      </w:pPr>
    </w:p>
    <w:p w:rsidR="001B7D27" w:rsidRPr="0003071F" w:rsidRDefault="001B7D27" w:rsidP="0003071F">
      <w:pPr>
        <w:jc w:val="both"/>
        <w:rPr>
          <w:lang w:eastAsia="fr-FR"/>
        </w:rPr>
      </w:pPr>
      <w:r w:rsidRPr="001B7D27">
        <w:rPr>
          <w:lang w:eastAsia="fr-FR"/>
        </w:rPr>
        <w:t>Le présent projet d’arrêté</w:t>
      </w:r>
      <w:r>
        <w:rPr>
          <w:lang w:eastAsia="fr-FR"/>
        </w:rPr>
        <w:t xml:space="preserve"> introduit un objectif quantitatif d’emballages recyclés s’agissant de la consommation nomade hors foyer hors périmètre des collectivités.</w:t>
      </w:r>
    </w:p>
    <w:p w:rsidR="0003071F" w:rsidRDefault="0003071F" w:rsidP="0003071F">
      <w:pPr>
        <w:jc w:val="both"/>
        <w:rPr>
          <w:b/>
          <w:lang w:eastAsia="fr-FR"/>
        </w:rPr>
      </w:pPr>
    </w:p>
    <w:p w:rsidR="0003071F" w:rsidRPr="0003071F" w:rsidRDefault="0003071F" w:rsidP="0003071F">
      <w:pPr>
        <w:pStyle w:val="Paragraphedeliste"/>
        <w:numPr>
          <w:ilvl w:val="0"/>
          <w:numId w:val="11"/>
        </w:numPr>
        <w:jc w:val="both"/>
        <w:rPr>
          <w:b/>
          <w:lang w:eastAsia="fr-FR"/>
        </w:rPr>
      </w:pPr>
      <w:r>
        <w:rPr>
          <w:b/>
          <w:lang w:eastAsia="fr-FR"/>
        </w:rPr>
        <w:t>Autres</w:t>
      </w:r>
    </w:p>
    <w:p w:rsidR="0003071F" w:rsidRDefault="0003071F" w:rsidP="0003071F">
      <w:pPr>
        <w:jc w:val="both"/>
        <w:rPr>
          <w:b/>
          <w:lang w:eastAsia="fr-FR"/>
        </w:rPr>
      </w:pPr>
    </w:p>
    <w:p w:rsidR="0003071F" w:rsidRDefault="0003071F" w:rsidP="0003071F">
      <w:pPr>
        <w:pStyle w:val="Corpsdetexte"/>
        <w:spacing w:line="259" w:lineRule="auto"/>
        <w:ind w:right="109"/>
        <w:rPr>
          <w:i w:val="0"/>
          <w:iCs w:val="0"/>
        </w:rPr>
      </w:pPr>
      <w:r>
        <w:rPr>
          <w:i w:val="0"/>
          <w:iCs w:val="0"/>
        </w:rPr>
        <w:t>Les financements relatifs aux projet de recherche et de développement et à l’accompagnement à l’</w:t>
      </w:r>
      <w:proofErr w:type="spellStart"/>
      <w:r>
        <w:rPr>
          <w:i w:val="0"/>
          <w:iCs w:val="0"/>
        </w:rPr>
        <w:t>éco-conception</w:t>
      </w:r>
      <w:proofErr w:type="spellEnd"/>
      <w:r>
        <w:rPr>
          <w:i w:val="0"/>
          <w:iCs w:val="0"/>
        </w:rPr>
        <w:t xml:space="preserve"> peuvent être plafonnés. </w:t>
      </w:r>
    </w:p>
    <w:p w:rsidR="0003071F" w:rsidRDefault="0003071F" w:rsidP="0003071F">
      <w:pPr>
        <w:pStyle w:val="Corpsdetexte"/>
        <w:spacing w:line="259" w:lineRule="auto"/>
        <w:ind w:right="109"/>
        <w:rPr>
          <w:i w:val="0"/>
          <w:iCs w:val="0"/>
        </w:rPr>
      </w:pPr>
    </w:p>
    <w:p w:rsidR="0003071F" w:rsidRDefault="0003071F" w:rsidP="0003071F">
      <w:pPr>
        <w:pStyle w:val="Corpsdetexte"/>
        <w:spacing w:line="259" w:lineRule="auto"/>
        <w:ind w:right="109"/>
        <w:rPr>
          <w:i w:val="0"/>
          <w:iCs w:val="0"/>
        </w:rPr>
      </w:pPr>
      <w:r>
        <w:rPr>
          <w:i w:val="0"/>
          <w:iCs w:val="0"/>
        </w:rPr>
        <w:t>Le calcul de l’atteinte des objectifs de recyclage par éco-organisme est précisé, afin d’améliorer le suivi individuel des performances.</w:t>
      </w:r>
    </w:p>
    <w:p w:rsidR="0003071F" w:rsidRDefault="0003071F" w:rsidP="0003071F">
      <w:pPr>
        <w:pStyle w:val="Corpsdetexte"/>
        <w:spacing w:line="259" w:lineRule="auto"/>
        <w:ind w:right="109"/>
        <w:rPr>
          <w:i w:val="0"/>
          <w:iCs w:val="0"/>
        </w:rPr>
      </w:pPr>
    </w:p>
    <w:p w:rsidR="0003071F" w:rsidRPr="0003071F" w:rsidRDefault="005D2414" w:rsidP="0003071F">
      <w:pPr>
        <w:pStyle w:val="Corpsdetexte"/>
        <w:spacing w:line="259" w:lineRule="auto"/>
        <w:ind w:right="109"/>
        <w:rPr>
          <w:i w:val="0"/>
          <w:iCs w:val="0"/>
        </w:rPr>
      </w:pPr>
      <w:r>
        <w:rPr>
          <w:i w:val="0"/>
          <w:iCs w:val="0"/>
        </w:rPr>
        <w:t xml:space="preserve">La place de la coordination est renforcée (éco-modulations, gammes standards, déploiement du réemploi au niveau national, …), dans un souci d’une plus grande cohérence à l’échelle de la filière. </w:t>
      </w:r>
    </w:p>
    <w:p w:rsidR="0003071F" w:rsidRPr="0003071F" w:rsidRDefault="0003071F" w:rsidP="0003071F">
      <w:pPr>
        <w:pStyle w:val="Corpsdetexte"/>
        <w:spacing w:line="259" w:lineRule="auto"/>
        <w:ind w:right="109"/>
        <w:rPr>
          <w:i w:val="0"/>
          <w:iCs w:val="0"/>
        </w:rPr>
      </w:pPr>
    </w:p>
    <w:p w:rsidR="00E4798F" w:rsidRDefault="00E4798F">
      <w:pPr>
        <w:pStyle w:val="Corpsdetexte"/>
        <w:spacing w:line="259" w:lineRule="auto"/>
        <w:ind w:right="109"/>
        <w:rPr>
          <w:i w:val="0"/>
          <w:iCs w:val="0"/>
        </w:rPr>
      </w:pPr>
    </w:p>
    <w:p w:rsidR="00E4798F" w:rsidRDefault="00E4798F">
      <w:pPr>
        <w:pStyle w:val="Corpsdetexte"/>
        <w:spacing w:line="259" w:lineRule="auto"/>
        <w:ind w:right="109"/>
        <w:rPr>
          <w:i w:val="0"/>
          <w:iCs w:val="0"/>
        </w:rPr>
      </w:pPr>
    </w:p>
    <w:sectPr w:rsidR="00E4798F">
      <w:footerReference w:type="even" r:id="rId8"/>
      <w:footerReference w:type="default" r:id="rId9"/>
      <w:footerReference w:type="first" r:id="rId10"/>
      <w:pgSz w:w="11906" w:h="16838"/>
      <w:pgMar w:top="1417" w:right="1417" w:bottom="1417" w:left="1417" w:header="0" w:footer="72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D1D5F" w:rsidRDefault="001D1D5F">
      <w:r>
        <w:separator/>
      </w:r>
    </w:p>
  </w:endnote>
  <w:endnote w:type="continuationSeparator" w:id="0">
    <w:p w:rsidR="001D1D5F" w:rsidRDefault="001D1D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Gras">
    <w:panose1 w:val="02020803070505020304"/>
    <w:charset w:val="00"/>
    <w:family w:val="roman"/>
    <w:pitch w:val="variable"/>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ans">
    <w:altName w:val="Arial"/>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1D5F" w:rsidRDefault="001D1D5F">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67245344"/>
      <w:docPartObj>
        <w:docPartGallery w:val="Page Numbers (Bottom of Page)"/>
        <w:docPartUnique/>
      </w:docPartObj>
    </w:sdtPr>
    <w:sdtEndPr/>
    <w:sdtContent>
      <w:p w:rsidR="001D1D5F" w:rsidRDefault="001D1D5F">
        <w:pPr>
          <w:pStyle w:val="Pieddepage"/>
          <w:jc w:val="center"/>
        </w:pPr>
        <w:r>
          <w:fldChar w:fldCharType="begin"/>
        </w:r>
        <w:r>
          <w:instrText xml:space="preserve"> PAGE </w:instrText>
        </w:r>
        <w:r>
          <w:fldChar w:fldCharType="separate"/>
        </w:r>
        <w:r w:rsidR="00903F1E">
          <w:rPr>
            <w:noProof/>
          </w:rPr>
          <w:t>3</w:t>
        </w:r>
        <w:r>
          <w:fldChar w:fldCharType="end"/>
        </w:r>
      </w:p>
    </w:sdtContent>
  </w:sdt>
  <w:p w:rsidR="001D1D5F" w:rsidRDefault="001D1D5F">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32086162"/>
      <w:docPartObj>
        <w:docPartGallery w:val="Page Numbers (Bottom of Page)"/>
        <w:docPartUnique/>
      </w:docPartObj>
    </w:sdtPr>
    <w:sdtEndPr/>
    <w:sdtContent>
      <w:p w:rsidR="001D1D5F" w:rsidRDefault="001D1D5F">
        <w:pPr>
          <w:pStyle w:val="Pieddepage"/>
          <w:jc w:val="center"/>
        </w:pPr>
        <w:r>
          <w:fldChar w:fldCharType="begin"/>
        </w:r>
        <w:r>
          <w:instrText xml:space="preserve"> PAGE </w:instrText>
        </w:r>
        <w:r>
          <w:fldChar w:fldCharType="separate"/>
        </w:r>
        <w:r>
          <w:t>2</w:t>
        </w:r>
        <w:r>
          <w:fldChar w:fldCharType="end"/>
        </w:r>
      </w:p>
    </w:sdtContent>
  </w:sdt>
  <w:p w:rsidR="001D1D5F" w:rsidRDefault="001D1D5F">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D1D5F" w:rsidRDefault="001D1D5F">
      <w:r>
        <w:separator/>
      </w:r>
    </w:p>
  </w:footnote>
  <w:footnote w:type="continuationSeparator" w:id="0">
    <w:p w:rsidR="001D1D5F" w:rsidRDefault="001D1D5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146E83"/>
    <w:multiLevelType w:val="hybridMultilevel"/>
    <w:tmpl w:val="CF72BDCE"/>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10E714DB"/>
    <w:multiLevelType w:val="multilevel"/>
    <w:tmpl w:val="040C001D"/>
    <w:lvl w:ilvl="0">
      <w:start w:val="1"/>
      <w:numFmt w:val="decimal"/>
      <w:lvlText w:val="%1)"/>
      <w:lvlJc w:val="left"/>
      <w:pPr>
        <w:ind w:left="360" w:hanging="360"/>
      </w:pPr>
      <w:rPr>
        <w:rFonts w:ascii="Times New Roman" w:hAnsi="Times New Roman"/>
        <w:color w:val="auto"/>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15546D76"/>
    <w:multiLevelType w:val="multilevel"/>
    <w:tmpl w:val="024A2CC4"/>
    <w:lvl w:ilvl="0">
      <w:start w:val="1"/>
      <w:numFmt w:val="decimal"/>
      <w:lvlText w:val="%1."/>
      <w:lvlJc w:val="left"/>
      <w:pPr>
        <w:ind w:left="720" w:hanging="360"/>
      </w:pPr>
      <w:rPr>
        <w:rFonts w:hint="default"/>
      </w:rPr>
    </w:lvl>
    <w:lvl w:ilvl="1">
      <w:start w:val="1"/>
      <w:numFmt w:val="decimal"/>
      <w:isLgl/>
      <w:lvlText w:val="%1.%2."/>
      <w:lvlJc w:val="left"/>
      <w:pPr>
        <w:ind w:left="900" w:hanging="5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17AF52D3"/>
    <w:multiLevelType w:val="multilevel"/>
    <w:tmpl w:val="040C001D"/>
    <w:styleLink w:val="Style2"/>
    <w:lvl w:ilvl="0">
      <w:start w:val="1"/>
      <w:numFmt w:val="decimal"/>
      <w:lvlText w:val="%1)"/>
      <w:lvlJc w:val="left"/>
      <w:pPr>
        <w:ind w:left="360" w:hanging="360"/>
      </w:pPr>
      <w:rPr>
        <w:rFonts w:ascii="Times New Roman" w:hAnsi="Times New Roman"/>
        <w:color w:val="auto"/>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32DB3443"/>
    <w:multiLevelType w:val="hybridMultilevel"/>
    <w:tmpl w:val="5DDA04EC"/>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3C3C0C16"/>
    <w:multiLevelType w:val="hybridMultilevel"/>
    <w:tmpl w:val="14AA0CC2"/>
    <w:lvl w:ilvl="0" w:tplc="040C0001">
      <w:start w:val="1"/>
      <w:numFmt w:val="bullet"/>
      <w:lvlText w:val=""/>
      <w:lvlJc w:val="left"/>
      <w:pPr>
        <w:ind w:left="578" w:hanging="360"/>
      </w:pPr>
      <w:rPr>
        <w:rFonts w:ascii="Symbol" w:hAnsi="Symbol" w:hint="default"/>
      </w:rPr>
    </w:lvl>
    <w:lvl w:ilvl="1" w:tplc="040C0003" w:tentative="1">
      <w:start w:val="1"/>
      <w:numFmt w:val="bullet"/>
      <w:lvlText w:val="o"/>
      <w:lvlJc w:val="left"/>
      <w:pPr>
        <w:ind w:left="1298" w:hanging="360"/>
      </w:pPr>
      <w:rPr>
        <w:rFonts w:ascii="Courier New" w:hAnsi="Courier New" w:cs="Courier New" w:hint="default"/>
      </w:rPr>
    </w:lvl>
    <w:lvl w:ilvl="2" w:tplc="040C0005" w:tentative="1">
      <w:start w:val="1"/>
      <w:numFmt w:val="bullet"/>
      <w:lvlText w:val=""/>
      <w:lvlJc w:val="left"/>
      <w:pPr>
        <w:ind w:left="2018" w:hanging="360"/>
      </w:pPr>
      <w:rPr>
        <w:rFonts w:ascii="Wingdings" w:hAnsi="Wingdings" w:hint="default"/>
      </w:rPr>
    </w:lvl>
    <w:lvl w:ilvl="3" w:tplc="040C0001" w:tentative="1">
      <w:start w:val="1"/>
      <w:numFmt w:val="bullet"/>
      <w:lvlText w:val=""/>
      <w:lvlJc w:val="left"/>
      <w:pPr>
        <w:ind w:left="2738" w:hanging="360"/>
      </w:pPr>
      <w:rPr>
        <w:rFonts w:ascii="Symbol" w:hAnsi="Symbol" w:hint="default"/>
      </w:rPr>
    </w:lvl>
    <w:lvl w:ilvl="4" w:tplc="040C0003" w:tentative="1">
      <w:start w:val="1"/>
      <w:numFmt w:val="bullet"/>
      <w:lvlText w:val="o"/>
      <w:lvlJc w:val="left"/>
      <w:pPr>
        <w:ind w:left="3458" w:hanging="360"/>
      </w:pPr>
      <w:rPr>
        <w:rFonts w:ascii="Courier New" w:hAnsi="Courier New" w:cs="Courier New" w:hint="default"/>
      </w:rPr>
    </w:lvl>
    <w:lvl w:ilvl="5" w:tplc="040C0005" w:tentative="1">
      <w:start w:val="1"/>
      <w:numFmt w:val="bullet"/>
      <w:lvlText w:val=""/>
      <w:lvlJc w:val="left"/>
      <w:pPr>
        <w:ind w:left="4178" w:hanging="360"/>
      </w:pPr>
      <w:rPr>
        <w:rFonts w:ascii="Wingdings" w:hAnsi="Wingdings" w:hint="default"/>
      </w:rPr>
    </w:lvl>
    <w:lvl w:ilvl="6" w:tplc="040C0001" w:tentative="1">
      <w:start w:val="1"/>
      <w:numFmt w:val="bullet"/>
      <w:lvlText w:val=""/>
      <w:lvlJc w:val="left"/>
      <w:pPr>
        <w:ind w:left="4898" w:hanging="360"/>
      </w:pPr>
      <w:rPr>
        <w:rFonts w:ascii="Symbol" w:hAnsi="Symbol" w:hint="default"/>
      </w:rPr>
    </w:lvl>
    <w:lvl w:ilvl="7" w:tplc="040C0003" w:tentative="1">
      <w:start w:val="1"/>
      <w:numFmt w:val="bullet"/>
      <w:lvlText w:val="o"/>
      <w:lvlJc w:val="left"/>
      <w:pPr>
        <w:ind w:left="5618" w:hanging="360"/>
      </w:pPr>
      <w:rPr>
        <w:rFonts w:ascii="Courier New" w:hAnsi="Courier New" w:cs="Courier New" w:hint="default"/>
      </w:rPr>
    </w:lvl>
    <w:lvl w:ilvl="8" w:tplc="040C0005" w:tentative="1">
      <w:start w:val="1"/>
      <w:numFmt w:val="bullet"/>
      <w:lvlText w:val=""/>
      <w:lvlJc w:val="left"/>
      <w:pPr>
        <w:ind w:left="6338" w:hanging="360"/>
      </w:pPr>
      <w:rPr>
        <w:rFonts w:ascii="Wingdings" w:hAnsi="Wingdings" w:hint="default"/>
      </w:rPr>
    </w:lvl>
  </w:abstractNum>
  <w:abstractNum w:abstractNumId="6" w15:restartNumberingAfterBreak="0">
    <w:nsid w:val="494E7E5F"/>
    <w:multiLevelType w:val="hybridMultilevel"/>
    <w:tmpl w:val="8940BBE8"/>
    <w:lvl w:ilvl="0" w:tplc="040C0001">
      <w:start w:val="1"/>
      <w:numFmt w:val="bullet"/>
      <w:lvlText w:val=""/>
      <w:lvlJc w:val="left"/>
      <w:pPr>
        <w:ind w:left="578" w:hanging="360"/>
      </w:pPr>
      <w:rPr>
        <w:rFonts w:ascii="Symbol" w:hAnsi="Symbol" w:hint="default"/>
      </w:rPr>
    </w:lvl>
    <w:lvl w:ilvl="1" w:tplc="040C0003" w:tentative="1">
      <w:start w:val="1"/>
      <w:numFmt w:val="bullet"/>
      <w:lvlText w:val="o"/>
      <w:lvlJc w:val="left"/>
      <w:pPr>
        <w:ind w:left="1298" w:hanging="360"/>
      </w:pPr>
      <w:rPr>
        <w:rFonts w:ascii="Courier New" w:hAnsi="Courier New" w:cs="Courier New" w:hint="default"/>
      </w:rPr>
    </w:lvl>
    <w:lvl w:ilvl="2" w:tplc="040C0005" w:tentative="1">
      <w:start w:val="1"/>
      <w:numFmt w:val="bullet"/>
      <w:lvlText w:val=""/>
      <w:lvlJc w:val="left"/>
      <w:pPr>
        <w:ind w:left="2018" w:hanging="360"/>
      </w:pPr>
      <w:rPr>
        <w:rFonts w:ascii="Wingdings" w:hAnsi="Wingdings" w:hint="default"/>
      </w:rPr>
    </w:lvl>
    <w:lvl w:ilvl="3" w:tplc="040C0001" w:tentative="1">
      <w:start w:val="1"/>
      <w:numFmt w:val="bullet"/>
      <w:lvlText w:val=""/>
      <w:lvlJc w:val="left"/>
      <w:pPr>
        <w:ind w:left="2738" w:hanging="360"/>
      </w:pPr>
      <w:rPr>
        <w:rFonts w:ascii="Symbol" w:hAnsi="Symbol" w:hint="default"/>
      </w:rPr>
    </w:lvl>
    <w:lvl w:ilvl="4" w:tplc="040C0003" w:tentative="1">
      <w:start w:val="1"/>
      <w:numFmt w:val="bullet"/>
      <w:lvlText w:val="o"/>
      <w:lvlJc w:val="left"/>
      <w:pPr>
        <w:ind w:left="3458" w:hanging="360"/>
      </w:pPr>
      <w:rPr>
        <w:rFonts w:ascii="Courier New" w:hAnsi="Courier New" w:cs="Courier New" w:hint="default"/>
      </w:rPr>
    </w:lvl>
    <w:lvl w:ilvl="5" w:tplc="040C0005" w:tentative="1">
      <w:start w:val="1"/>
      <w:numFmt w:val="bullet"/>
      <w:lvlText w:val=""/>
      <w:lvlJc w:val="left"/>
      <w:pPr>
        <w:ind w:left="4178" w:hanging="360"/>
      </w:pPr>
      <w:rPr>
        <w:rFonts w:ascii="Wingdings" w:hAnsi="Wingdings" w:hint="default"/>
      </w:rPr>
    </w:lvl>
    <w:lvl w:ilvl="6" w:tplc="040C0001" w:tentative="1">
      <w:start w:val="1"/>
      <w:numFmt w:val="bullet"/>
      <w:lvlText w:val=""/>
      <w:lvlJc w:val="left"/>
      <w:pPr>
        <w:ind w:left="4898" w:hanging="360"/>
      </w:pPr>
      <w:rPr>
        <w:rFonts w:ascii="Symbol" w:hAnsi="Symbol" w:hint="default"/>
      </w:rPr>
    </w:lvl>
    <w:lvl w:ilvl="7" w:tplc="040C0003" w:tentative="1">
      <w:start w:val="1"/>
      <w:numFmt w:val="bullet"/>
      <w:lvlText w:val="o"/>
      <w:lvlJc w:val="left"/>
      <w:pPr>
        <w:ind w:left="5618" w:hanging="360"/>
      </w:pPr>
      <w:rPr>
        <w:rFonts w:ascii="Courier New" w:hAnsi="Courier New" w:cs="Courier New" w:hint="default"/>
      </w:rPr>
    </w:lvl>
    <w:lvl w:ilvl="8" w:tplc="040C0005" w:tentative="1">
      <w:start w:val="1"/>
      <w:numFmt w:val="bullet"/>
      <w:lvlText w:val=""/>
      <w:lvlJc w:val="left"/>
      <w:pPr>
        <w:ind w:left="6338" w:hanging="360"/>
      </w:pPr>
      <w:rPr>
        <w:rFonts w:ascii="Wingdings" w:hAnsi="Wingdings" w:hint="default"/>
      </w:rPr>
    </w:lvl>
  </w:abstractNum>
  <w:abstractNum w:abstractNumId="7" w15:restartNumberingAfterBreak="0">
    <w:nsid w:val="5D5C6F97"/>
    <w:multiLevelType w:val="hybridMultilevel"/>
    <w:tmpl w:val="BC6E5036"/>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6CA546E0"/>
    <w:multiLevelType w:val="hybridMultilevel"/>
    <w:tmpl w:val="40F0B14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6FAA2D09"/>
    <w:multiLevelType w:val="multilevel"/>
    <w:tmpl w:val="FF1C7CB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1552117"/>
    <w:multiLevelType w:val="multilevel"/>
    <w:tmpl w:val="5B22B20A"/>
    <w:lvl w:ilvl="0">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1" w15:restartNumberingAfterBreak="0">
    <w:nsid w:val="7ACB0633"/>
    <w:multiLevelType w:val="multilevel"/>
    <w:tmpl w:val="FDFEB2A4"/>
    <w:lvl w:ilvl="0">
      <w:start w:val="1"/>
      <w:numFmt w:val="decimal"/>
      <w:pStyle w:val="Titre1"/>
      <w:lvlText w:val="%1. "/>
      <w:lvlJc w:val="left"/>
      <w:pPr>
        <w:tabs>
          <w:tab w:val="num" w:pos="0"/>
        </w:tabs>
        <w:ind w:left="0" w:firstLine="113"/>
      </w:pPr>
      <w:rPr>
        <w:rFonts w:ascii="Times New Roman Gras" w:hAnsi="Times New Roman Gras"/>
        <w:b/>
        <w:i w:val="0"/>
        <w:strike w:val="0"/>
        <w:dstrike w:val="0"/>
        <w:vanish w:val="0"/>
        <w:position w:val="0"/>
        <w:sz w:val="24"/>
        <w:vertAlign w:val="baseline"/>
      </w:rPr>
    </w:lvl>
    <w:lvl w:ilvl="1">
      <w:start w:val="1"/>
      <w:numFmt w:val="decimal"/>
      <w:pStyle w:val="Titre2"/>
      <w:lvlText w:val="%1.%2. "/>
      <w:lvlJc w:val="left"/>
      <w:pPr>
        <w:tabs>
          <w:tab w:val="num" w:pos="0"/>
        </w:tabs>
        <w:ind w:left="680" w:hanging="320"/>
      </w:pPr>
      <w:rPr>
        <w:rFonts w:ascii="Times New Roman Gras" w:hAnsi="Times New Roman Gras"/>
        <w:b/>
        <w:i w:val="0"/>
        <w:strike w:val="0"/>
        <w:dstrike w:val="0"/>
        <w:vanish w:val="0"/>
        <w:position w:val="0"/>
        <w:sz w:val="24"/>
        <w:vertAlign w:val="baseline"/>
      </w:rPr>
    </w:lvl>
    <w:lvl w:ilvl="2">
      <w:start w:val="1"/>
      <w:numFmt w:val="decimal"/>
      <w:pStyle w:val="Titre3"/>
      <w:lvlText w:val="%1.%2.%3. "/>
      <w:lvlJc w:val="left"/>
      <w:pPr>
        <w:tabs>
          <w:tab w:val="num" w:pos="0"/>
        </w:tabs>
        <w:ind w:left="1080" w:hanging="343"/>
      </w:pPr>
      <w:rPr>
        <w:rFonts w:ascii="Times New Roman Gras" w:hAnsi="Times New Roman Gras"/>
        <w:b/>
        <w:i w:val="0"/>
        <w:caps w:val="0"/>
        <w:smallCaps w:val="0"/>
        <w:strike w:val="0"/>
        <w:dstrike w:val="0"/>
        <w:vanish w:val="0"/>
        <w:position w:val="0"/>
        <w:sz w:val="24"/>
        <w:vertAlign w:val="baseline"/>
      </w:rPr>
    </w:lvl>
    <w:lvl w:ilvl="3">
      <w:start w:val="1"/>
      <w:numFmt w:val="upperLetter"/>
      <w:pStyle w:val="Titre4"/>
      <w:lvlText w:val="%4 - "/>
      <w:lvlJc w:val="left"/>
      <w:pPr>
        <w:tabs>
          <w:tab w:val="num" w:pos="0"/>
        </w:tabs>
        <w:ind w:left="1440" w:hanging="589"/>
      </w:pPr>
      <w:rPr>
        <w:rFonts w:ascii="Times New Roman" w:hAnsi="Times New Roman"/>
        <w:caps w:val="0"/>
        <w:smallCaps w:val="0"/>
        <w:strike w:val="0"/>
        <w:dstrike w:val="0"/>
        <w:vanish w:val="0"/>
        <w:position w:val="0"/>
        <w:sz w:val="24"/>
        <w:vertAlign w:val="baseline"/>
      </w:rPr>
    </w:lvl>
    <w:lvl w:ilvl="4">
      <w:start w:val="1"/>
      <w:numFmt w:val="decimal"/>
      <w:pStyle w:val="Titre5"/>
      <w:lvlText w:val="%5."/>
      <w:lvlJc w:val="left"/>
      <w:pPr>
        <w:tabs>
          <w:tab w:val="num" w:pos="0"/>
        </w:tabs>
        <w:ind w:left="1440" w:hanging="589"/>
      </w:pPr>
      <w:rPr>
        <w:caps w:val="0"/>
        <w:smallCaps w:val="0"/>
        <w:strike w:val="0"/>
        <w:dstrike w:val="0"/>
        <w:vanish w:val="0"/>
        <w:position w:val="0"/>
        <w:sz w:val="24"/>
        <w:vertAlign w:val="baseline"/>
      </w:rPr>
    </w:lvl>
    <w:lvl w:ilvl="5">
      <w:start w:val="1"/>
      <w:numFmt w:val="none"/>
      <w:suff w:val="nothing"/>
      <w:lvlText w:val="%6"/>
      <w:lvlJc w:val="left"/>
      <w:pPr>
        <w:tabs>
          <w:tab w:val="num" w:pos="0"/>
        </w:tabs>
        <w:ind w:left="0" w:firstLine="0"/>
      </w:pPr>
    </w:lvl>
    <w:lvl w:ilvl="6">
      <w:start w:val="1"/>
      <w:numFmt w:val="none"/>
      <w:suff w:val="nothing"/>
      <w:lvlText w:val="%7"/>
      <w:lvlJc w:val="left"/>
      <w:pPr>
        <w:tabs>
          <w:tab w:val="num" w:pos="0"/>
        </w:tabs>
        <w:ind w:left="0" w:firstLine="0"/>
      </w:pPr>
    </w:lvl>
    <w:lvl w:ilvl="7">
      <w:start w:val="1"/>
      <w:numFmt w:val="none"/>
      <w:suff w:val="nothing"/>
      <w:lvlText w:val="%8"/>
      <w:lvlJc w:val="left"/>
      <w:pPr>
        <w:tabs>
          <w:tab w:val="num" w:pos="0"/>
        </w:tabs>
        <w:ind w:left="0" w:firstLine="0"/>
      </w:pPr>
    </w:lvl>
    <w:lvl w:ilvl="8">
      <w:start w:val="1"/>
      <w:numFmt w:val="none"/>
      <w:suff w:val="nothing"/>
      <w:lvlText w:val="%9"/>
      <w:lvlJc w:val="left"/>
      <w:pPr>
        <w:tabs>
          <w:tab w:val="num" w:pos="0"/>
        </w:tabs>
        <w:ind w:left="0" w:firstLine="0"/>
      </w:pPr>
    </w:lvl>
  </w:abstractNum>
  <w:num w:numId="1">
    <w:abstractNumId w:val="11"/>
  </w:num>
  <w:num w:numId="2">
    <w:abstractNumId w:val="10"/>
  </w:num>
  <w:num w:numId="3">
    <w:abstractNumId w:val="1"/>
  </w:num>
  <w:num w:numId="4">
    <w:abstractNumId w:val="3"/>
  </w:num>
  <w:num w:numId="5">
    <w:abstractNumId w:val="8"/>
  </w:num>
  <w:num w:numId="6">
    <w:abstractNumId w:val="5"/>
  </w:num>
  <w:num w:numId="7">
    <w:abstractNumId w:val="9"/>
  </w:num>
  <w:num w:numId="8">
    <w:abstractNumId w:val="6"/>
  </w:num>
  <w:num w:numId="9">
    <w:abstractNumId w:val="7"/>
  </w:num>
  <w:num w:numId="10">
    <w:abstractNumId w:val="0"/>
  </w:num>
  <w:num w:numId="11">
    <w:abstractNumId w:val="2"/>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autoHyphenation/>
  <w:hyphenationZone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11EB"/>
    <w:rsid w:val="0003071F"/>
    <w:rsid w:val="001B7D27"/>
    <w:rsid w:val="001D1D5F"/>
    <w:rsid w:val="00394A5F"/>
    <w:rsid w:val="003A11EB"/>
    <w:rsid w:val="00565439"/>
    <w:rsid w:val="005D2414"/>
    <w:rsid w:val="00730969"/>
    <w:rsid w:val="00735EDA"/>
    <w:rsid w:val="00903F1E"/>
    <w:rsid w:val="00B61AD3"/>
    <w:rsid w:val="00CD16FD"/>
    <w:rsid w:val="00E368CE"/>
    <w:rsid w:val="00E4798F"/>
    <w:rsid w:val="00E90921"/>
    <w:rsid w:val="00F30768"/>
  </w:rsids>
  <m:mathPr>
    <m:mathFont m:val="Cambria Math"/>
    <m:brkBin m:val="before"/>
    <m:brkBinSub m:val="--"/>
    <m:smallFrac m:val="0"/>
    <m:dispDef/>
    <m:lMargin m:val="0"/>
    <m:rMargin m:val="0"/>
    <m:defJc m:val="centerGroup"/>
    <m:wrapIndent m:val="1440"/>
    <m:intLim m:val="subSup"/>
    <m:naryLim m:val="undOvr"/>
  </m:mathPr>
  <w:themeFontLang w:val="fr-FR"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9344EF"/>
  <w15:docId w15:val="{B1156AD5-00BC-4C32-9511-A89C9D193C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2168"/>
    <w:rPr>
      <w:rFonts w:ascii="Times New Roman" w:eastAsia="Times New Roman" w:hAnsi="Times New Roman" w:cs="Times New Roman"/>
      <w:sz w:val="24"/>
      <w:szCs w:val="24"/>
      <w:lang w:eastAsia="zh-CN"/>
    </w:rPr>
  </w:style>
  <w:style w:type="paragraph" w:styleId="Titre1">
    <w:name w:val="heading 1"/>
    <w:next w:val="Normal"/>
    <w:link w:val="Titre1Car"/>
    <w:uiPriority w:val="9"/>
    <w:qFormat/>
    <w:rsid w:val="00C342DF"/>
    <w:pPr>
      <w:keepNext/>
      <w:keepLines/>
      <w:numPr>
        <w:numId w:val="1"/>
      </w:numPr>
      <w:tabs>
        <w:tab w:val="left" w:pos="142"/>
      </w:tabs>
      <w:spacing w:before="480" w:after="480" w:line="276" w:lineRule="auto"/>
      <w:jc w:val="both"/>
      <w:textAlignment w:val="baseline"/>
      <w:outlineLvl w:val="0"/>
    </w:pPr>
    <w:rPr>
      <w:rFonts w:ascii="Times New Roman" w:eastAsia="Times New Roman" w:hAnsi="Times New Roman" w:cs="Times New Roman"/>
      <w:b/>
      <w:bCs/>
      <w:caps/>
      <w:color w:val="000000"/>
      <w:sz w:val="24"/>
      <w:szCs w:val="28"/>
      <w:lang w:eastAsia="fr-FR"/>
    </w:rPr>
  </w:style>
  <w:style w:type="paragraph" w:styleId="Titre2">
    <w:name w:val="heading 2"/>
    <w:next w:val="Normal"/>
    <w:link w:val="Titre2Car"/>
    <w:autoRedefine/>
    <w:qFormat/>
    <w:rsid w:val="00C342DF"/>
    <w:pPr>
      <w:keepNext/>
      <w:keepLines/>
      <w:numPr>
        <w:ilvl w:val="1"/>
        <w:numId w:val="1"/>
      </w:numPr>
      <w:tabs>
        <w:tab w:val="left" w:pos="171"/>
      </w:tabs>
      <w:spacing w:before="480" w:after="360" w:line="276" w:lineRule="auto"/>
      <w:jc w:val="both"/>
      <w:textAlignment w:val="baseline"/>
      <w:outlineLvl w:val="1"/>
    </w:pPr>
    <w:rPr>
      <w:rFonts w:ascii="Times New Roman Gras" w:eastAsia="Times New Roman" w:hAnsi="Times New Roman Gras" w:cs="Times New Roman Gras"/>
      <w:b/>
      <w:bCs/>
      <w:smallCaps/>
      <w:color w:val="000000"/>
      <w:sz w:val="24"/>
      <w:szCs w:val="26"/>
      <w:lang w:eastAsia="fr-FR"/>
    </w:rPr>
  </w:style>
  <w:style w:type="paragraph" w:styleId="Titre3">
    <w:name w:val="heading 3"/>
    <w:next w:val="Normal"/>
    <w:link w:val="Titre3Car"/>
    <w:rsid w:val="00C342DF"/>
    <w:pPr>
      <w:keepNext/>
      <w:keepLines/>
      <w:numPr>
        <w:ilvl w:val="2"/>
        <w:numId w:val="1"/>
      </w:numPr>
      <w:tabs>
        <w:tab w:val="clear" w:pos="0"/>
        <w:tab w:val="left" w:pos="-3"/>
      </w:tabs>
      <w:spacing w:before="360" w:after="300" w:line="276" w:lineRule="auto"/>
      <w:jc w:val="both"/>
      <w:textAlignment w:val="baseline"/>
      <w:outlineLvl w:val="2"/>
    </w:pPr>
    <w:rPr>
      <w:rFonts w:ascii="Times New Roman Gras" w:eastAsia="Times New Roman" w:hAnsi="Times New Roman Gras" w:cs="Times New Roman Gras"/>
      <w:b/>
      <w:bCs/>
      <w:color w:val="000000"/>
      <w:sz w:val="24"/>
      <w:szCs w:val="24"/>
      <w:lang w:eastAsia="fr-FR"/>
    </w:rPr>
  </w:style>
  <w:style w:type="paragraph" w:styleId="Titre4">
    <w:name w:val="heading 4"/>
    <w:next w:val="Normal"/>
    <w:link w:val="Titre4Car"/>
    <w:rsid w:val="00C342DF"/>
    <w:pPr>
      <w:keepNext/>
      <w:keepLines/>
      <w:numPr>
        <w:ilvl w:val="3"/>
        <w:numId w:val="1"/>
      </w:numPr>
      <w:tabs>
        <w:tab w:val="left" w:pos="-164"/>
      </w:tabs>
      <w:spacing w:before="300" w:after="200" w:line="276" w:lineRule="auto"/>
      <w:jc w:val="both"/>
      <w:textAlignment w:val="baseline"/>
      <w:outlineLvl w:val="3"/>
    </w:pPr>
    <w:rPr>
      <w:rFonts w:ascii="Times New Roman" w:eastAsia="Times New Roman" w:hAnsi="Times New Roman" w:cs="Times New Roman"/>
      <w:bCs/>
      <w:iCs/>
      <w:color w:val="000000"/>
      <w:sz w:val="24"/>
      <w:szCs w:val="24"/>
      <w:lang w:eastAsia="fr-FR"/>
    </w:rPr>
  </w:style>
  <w:style w:type="paragraph" w:styleId="Titre5">
    <w:name w:val="heading 5"/>
    <w:next w:val="Normal"/>
    <w:link w:val="Titre5Car"/>
    <w:rsid w:val="00C342DF"/>
    <w:pPr>
      <w:keepNext/>
      <w:keepLines/>
      <w:numPr>
        <w:ilvl w:val="4"/>
        <w:numId w:val="1"/>
      </w:numPr>
      <w:tabs>
        <w:tab w:val="left" w:pos="-164"/>
      </w:tabs>
      <w:spacing w:before="300" w:after="200" w:line="276" w:lineRule="auto"/>
      <w:jc w:val="both"/>
      <w:textAlignment w:val="baseline"/>
      <w:outlineLvl w:val="4"/>
    </w:pPr>
    <w:rPr>
      <w:rFonts w:ascii="Times New Roman" w:eastAsia="Times New Roman" w:hAnsi="Times New Roman" w:cs="Times New Roman"/>
      <w:i/>
      <w:color w:val="000000"/>
      <w:sz w:val="24"/>
      <w:szCs w:val="24"/>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CorpsdetexteCar">
    <w:name w:val="Corps de texte Car"/>
    <w:basedOn w:val="Policepardfaut"/>
    <w:link w:val="Corpsdetexte"/>
    <w:rsid w:val="00D92168"/>
    <w:rPr>
      <w:rFonts w:ascii="Times New Roman" w:eastAsia="Times New Roman" w:hAnsi="Times New Roman" w:cs="Times New Roman"/>
      <w:i/>
      <w:iCs/>
      <w:sz w:val="24"/>
      <w:szCs w:val="24"/>
      <w:lang w:eastAsia="zh-CN"/>
    </w:rPr>
  </w:style>
  <w:style w:type="character" w:styleId="Marquedecommentaire">
    <w:name w:val="annotation reference"/>
    <w:basedOn w:val="Policepardfaut"/>
    <w:uiPriority w:val="99"/>
    <w:unhideWhenUsed/>
    <w:qFormat/>
    <w:rsid w:val="001F0A9D"/>
    <w:rPr>
      <w:sz w:val="16"/>
      <w:szCs w:val="16"/>
    </w:rPr>
  </w:style>
  <w:style w:type="character" w:customStyle="1" w:styleId="CommentaireCar">
    <w:name w:val="Commentaire Car"/>
    <w:basedOn w:val="Policepardfaut"/>
    <w:link w:val="Commentaire"/>
    <w:uiPriority w:val="99"/>
    <w:qFormat/>
    <w:rsid w:val="001F0A9D"/>
    <w:rPr>
      <w:rFonts w:ascii="Times New Roman" w:eastAsia="Times New Roman" w:hAnsi="Times New Roman" w:cs="Times New Roman"/>
      <w:sz w:val="20"/>
      <w:szCs w:val="20"/>
      <w:lang w:eastAsia="fr-FR"/>
    </w:rPr>
  </w:style>
  <w:style w:type="character" w:customStyle="1" w:styleId="TextedebullesCar">
    <w:name w:val="Texte de bulles Car"/>
    <w:basedOn w:val="Policepardfaut"/>
    <w:link w:val="Textedebulles"/>
    <w:uiPriority w:val="99"/>
    <w:semiHidden/>
    <w:rsid w:val="001F0A9D"/>
    <w:rPr>
      <w:rFonts w:ascii="Segoe UI" w:eastAsia="Times New Roman" w:hAnsi="Segoe UI" w:cs="Segoe UI"/>
      <w:sz w:val="18"/>
      <w:szCs w:val="18"/>
      <w:lang w:eastAsia="zh-CN"/>
    </w:rPr>
  </w:style>
  <w:style w:type="character" w:customStyle="1" w:styleId="ObjetducommentaireCar">
    <w:name w:val="Objet du commentaire Car"/>
    <w:basedOn w:val="CommentaireCar"/>
    <w:link w:val="Objetducommentaire"/>
    <w:uiPriority w:val="99"/>
    <w:semiHidden/>
    <w:rsid w:val="00D0698B"/>
    <w:rPr>
      <w:rFonts w:ascii="Times New Roman" w:eastAsia="Times New Roman" w:hAnsi="Times New Roman" w:cs="Times New Roman"/>
      <w:b/>
      <w:bCs/>
      <w:sz w:val="20"/>
      <w:szCs w:val="20"/>
      <w:lang w:eastAsia="zh-CN"/>
    </w:rPr>
  </w:style>
  <w:style w:type="character" w:customStyle="1" w:styleId="highlight">
    <w:name w:val="highlight"/>
    <w:basedOn w:val="Policepardfaut"/>
    <w:rsid w:val="00512676"/>
  </w:style>
  <w:style w:type="character" w:customStyle="1" w:styleId="En-tteCar">
    <w:name w:val="En-tête Car"/>
    <w:basedOn w:val="Policepardfaut"/>
    <w:link w:val="En-tte"/>
    <w:uiPriority w:val="99"/>
    <w:rsid w:val="00EC7C8C"/>
    <w:rPr>
      <w:rFonts w:ascii="Times New Roman" w:eastAsia="Times New Roman" w:hAnsi="Times New Roman" w:cs="Times New Roman"/>
      <w:sz w:val="24"/>
      <w:szCs w:val="24"/>
      <w:lang w:eastAsia="zh-CN"/>
    </w:rPr>
  </w:style>
  <w:style w:type="character" w:customStyle="1" w:styleId="PieddepageCar">
    <w:name w:val="Pied de page Car"/>
    <w:basedOn w:val="Policepardfaut"/>
    <w:link w:val="Pieddepage"/>
    <w:uiPriority w:val="99"/>
    <w:rsid w:val="00EC7C8C"/>
    <w:rPr>
      <w:rFonts w:ascii="Times New Roman" w:eastAsia="Times New Roman" w:hAnsi="Times New Roman" w:cs="Times New Roman"/>
      <w:sz w:val="24"/>
      <w:szCs w:val="24"/>
      <w:lang w:eastAsia="zh-CN"/>
    </w:rPr>
  </w:style>
  <w:style w:type="character" w:customStyle="1" w:styleId="NotedebasdepageCar">
    <w:name w:val="Note de bas de page Car"/>
    <w:basedOn w:val="Policepardfaut"/>
    <w:link w:val="Notedebasdepage"/>
    <w:uiPriority w:val="99"/>
    <w:semiHidden/>
    <w:rsid w:val="002B7328"/>
    <w:rPr>
      <w:rFonts w:ascii="Times New Roman" w:eastAsia="Times New Roman" w:hAnsi="Times New Roman" w:cs="Times New Roman"/>
      <w:sz w:val="20"/>
      <w:szCs w:val="20"/>
      <w:lang w:eastAsia="zh-CN"/>
    </w:rPr>
  </w:style>
  <w:style w:type="character" w:customStyle="1" w:styleId="Caractresdenotedebasdepageuser">
    <w:name w:val="Caractères de note de bas de page (user)"/>
    <w:basedOn w:val="Policepardfaut"/>
    <w:uiPriority w:val="99"/>
    <w:semiHidden/>
    <w:unhideWhenUsed/>
    <w:rsid w:val="002B7328"/>
    <w:rPr>
      <w:vertAlign w:val="superscript"/>
    </w:rPr>
  </w:style>
  <w:style w:type="character" w:customStyle="1" w:styleId="Caractresdenotedebasdepage">
    <w:name w:val="Caractères de note de bas de page"/>
    <w:qFormat/>
    <w:rPr>
      <w:vertAlign w:val="superscript"/>
    </w:rPr>
  </w:style>
  <w:style w:type="character" w:styleId="Appelnotedebasdep">
    <w:name w:val="footnote reference"/>
    <w:rPr>
      <w:vertAlign w:val="superscript"/>
    </w:rPr>
  </w:style>
  <w:style w:type="character" w:customStyle="1" w:styleId="Titre1Car">
    <w:name w:val="Titre 1 Car"/>
    <w:basedOn w:val="Policepardfaut"/>
    <w:link w:val="Titre1"/>
    <w:rsid w:val="00C342DF"/>
    <w:rPr>
      <w:rFonts w:ascii="Times New Roman" w:eastAsia="Times New Roman" w:hAnsi="Times New Roman" w:cs="Times New Roman"/>
      <w:b/>
      <w:bCs/>
      <w:caps/>
      <w:color w:val="000000"/>
      <w:sz w:val="24"/>
      <w:szCs w:val="28"/>
      <w:lang w:eastAsia="fr-FR"/>
    </w:rPr>
  </w:style>
  <w:style w:type="character" w:customStyle="1" w:styleId="Titre2Car">
    <w:name w:val="Titre 2 Car"/>
    <w:basedOn w:val="Policepardfaut"/>
    <w:link w:val="Titre2"/>
    <w:rsid w:val="00C342DF"/>
    <w:rPr>
      <w:rFonts w:ascii="Times New Roman Gras" w:eastAsia="Times New Roman" w:hAnsi="Times New Roman Gras" w:cs="Times New Roman Gras"/>
      <w:b/>
      <w:bCs/>
      <w:smallCaps/>
      <w:color w:val="000000"/>
      <w:sz w:val="24"/>
      <w:szCs w:val="26"/>
      <w:lang w:eastAsia="fr-FR"/>
    </w:rPr>
  </w:style>
  <w:style w:type="character" w:customStyle="1" w:styleId="Titre3Car">
    <w:name w:val="Titre 3 Car"/>
    <w:basedOn w:val="Policepardfaut"/>
    <w:link w:val="Titre3"/>
    <w:rsid w:val="00C342DF"/>
    <w:rPr>
      <w:rFonts w:ascii="Times New Roman Gras" w:eastAsia="Times New Roman" w:hAnsi="Times New Roman Gras" w:cs="Times New Roman Gras"/>
      <w:b/>
      <w:bCs/>
      <w:color w:val="000000"/>
      <w:sz w:val="24"/>
      <w:szCs w:val="24"/>
      <w:lang w:eastAsia="fr-FR"/>
    </w:rPr>
  </w:style>
  <w:style w:type="character" w:customStyle="1" w:styleId="Titre4Car">
    <w:name w:val="Titre 4 Car"/>
    <w:basedOn w:val="Policepardfaut"/>
    <w:link w:val="Titre4"/>
    <w:rsid w:val="00C342DF"/>
    <w:rPr>
      <w:rFonts w:ascii="Times New Roman" w:eastAsia="Times New Roman" w:hAnsi="Times New Roman" w:cs="Times New Roman"/>
      <w:bCs/>
      <w:iCs/>
      <w:color w:val="000000"/>
      <w:sz w:val="24"/>
      <w:szCs w:val="24"/>
      <w:lang w:eastAsia="fr-FR"/>
    </w:rPr>
  </w:style>
  <w:style w:type="character" w:customStyle="1" w:styleId="Titre5Car">
    <w:name w:val="Titre 5 Car"/>
    <w:basedOn w:val="Policepardfaut"/>
    <w:link w:val="Titre5"/>
    <w:rsid w:val="00C342DF"/>
    <w:rPr>
      <w:rFonts w:ascii="Times New Roman" w:eastAsia="Times New Roman" w:hAnsi="Times New Roman" w:cs="Times New Roman"/>
      <w:i/>
      <w:color w:val="000000"/>
      <w:sz w:val="24"/>
      <w:szCs w:val="24"/>
      <w:lang w:eastAsia="fr-FR"/>
    </w:rPr>
  </w:style>
  <w:style w:type="character" w:styleId="Numrodeligne">
    <w:name w:val="line number"/>
  </w:style>
  <w:style w:type="character" w:customStyle="1" w:styleId="Caractresdenotedefin">
    <w:name w:val="Caractères de note de fin"/>
    <w:qFormat/>
    <w:rPr>
      <w:vertAlign w:val="superscript"/>
    </w:rPr>
  </w:style>
  <w:style w:type="character" w:styleId="Appeldenotedefin">
    <w:name w:val="endnote reference"/>
    <w:rPr>
      <w:vertAlign w:val="superscript"/>
    </w:rPr>
  </w:style>
  <w:style w:type="character" w:customStyle="1" w:styleId="Caractresdenotedefinuser">
    <w:name w:val="Caractères de note de fin (user)"/>
    <w:qFormat/>
  </w:style>
  <w:style w:type="paragraph" w:styleId="Titre">
    <w:name w:val="Title"/>
    <w:basedOn w:val="Normal"/>
    <w:next w:val="Corpsdetexte"/>
    <w:qFormat/>
    <w:pPr>
      <w:keepNext/>
      <w:spacing w:before="240" w:after="120"/>
    </w:pPr>
    <w:rPr>
      <w:rFonts w:ascii="Liberation Sans" w:eastAsia="Microsoft YaHei" w:hAnsi="Liberation Sans" w:cs="Lucida Sans"/>
      <w:sz w:val="28"/>
      <w:szCs w:val="28"/>
    </w:rPr>
  </w:style>
  <w:style w:type="paragraph" w:styleId="Corpsdetexte">
    <w:name w:val="Body Text"/>
    <w:basedOn w:val="Normal"/>
    <w:link w:val="CorpsdetexteCar"/>
    <w:rsid w:val="00D92168"/>
    <w:pPr>
      <w:jc w:val="both"/>
    </w:pPr>
    <w:rPr>
      <w:i/>
      <w:iCs/>
    </w:rPr>
  </w:style>
  <w:style w:type="paragraph" w:styleId="Liste">
    <w:name w:val="List"/>
    <w:basedOn w:val="Corpsdetexte"/>
    <w:rPr>
      <w:rFonts w:cs="Lucida Sans"/>
    </w:rPr>
  </w:style>
  <w:style w:type="paragraph" w:styleId="Lgende">
    <w:name w:val="caption"/>
    <w:basedOn w:val="Normal"/>
    <w:qFormat/>
    <w:pPr>
      <w:suppressLineNumbers/>
      <w:spacing w:before="120" w:after="120"/>
    </w:pPr>
    <w:rPr>
      <w:rFonts w:cs="Lucida Sans"/>
      <w:i/>
      <w:iCs/>
    </w:rPr>
  </w:style>
  <w:style w:type="paragraph" w:customStyle="1" w:styleId="Index">
    <w:name w:val="Index"/>
    <w:basedOn w:val="Normal"/>
    <w:qFormat/>
    <w:pPr>
      <w:suppressLineNumbers/>
    </w:pPr>
    <w:rPr>
      <w:rFonts w:cs="Lucida Sans"/>
    </w:rPr>
  </w:style>
  <w:style w:type="paragraph" w:customStyle="1" w:styleId="Titre10">
    <w:name w:val="Titre1"/>
    <w:basedOn w:val="Normal"/>
    <w:next w:val="Corpsdetexte"/>
    <w:rsid w:val="00D92168"/>
    <w:pPr>
      <w:jc w:val="center"/>
    </w:pPr>
    <w:rPr>
      <w:sz w:val="36"/>
    </w:rPr>
  </w:style>
  <w:style w:type="paragraph" w:customStyle="1" w:styleId="Corpsdetexte21">
    <w:name w:val="Corps de texte 21"/>
    <w:basedOn w:val="Normal"/>
    <w:rsid w:val="00D92168"/>
    <w:pPr>
      <w:spacing w:after="120" w:line="480" w:lineRule="auto"/>
    </w:pPr>
  </w:style>
  <w:style w:type="paragraph" w:customStyle="1" w:styleId="SNAutorit">
    <w:name w:val="SNAutorité"/>
    <w:basedOn w:val="Normal"/>
    <w:autoRedefine/>
    <w:rsid w:val="00291CFD"/>
    <w:pPr>
      <w:suppressAutoHyphens w:val="0"/>
      <w:jc w:val="both"/>
    </w:pPr>
    <w:rPr>
      <w:lang w:eastAsia="fr-FR"/>
    </w:rPr>
  </w:style>
  <w:style w:type="paragraph" w:styleId="Commentaire">
    <w:name w:val="annotation text"/>
    <w:basedOn w:val="Normal"/>
    <w:link w:val="CommentaireCar"/>
    <w:uiPriority w:val="99"/>
    <w:unhideWhenUsed/>
    <w:qFormat/>
    <w:rsid w:val="001F0A9D"/>
    <w:pPr>
      <w:suppressAutoHyphens w:val="0"/>
      <w:spacing w:before="240" w:after="240"/>
      <w:ind w:firstLine="227"/>
      <w:jc w:val="both"/>
    </w:pPr>
    <w:rPr>
      <w:sz w:val="20"/>
      <w:szCs w:val="20"/>
      <w:lang w:eastAsia="fr-FR"/>
    </w:rPr>
  </w:style>
  <w:style w:type="paragraph" w:styleId="Textedebulles">
    <w:name w:val="Balloon Text"/>
    <w:basedOn w:val="Normal"/>
    <w:link w:val="TextedebullesCar"/>
    <w:uiPriority w:val="99"/>
    <w:semiHidden/>
    <w:unhideWhenUsed/>
    <w:rsid w:val="001F0A9D"/>
    <w:rPr>
      <w:rFonts w:ascii="Segoe UI" w:hAnsi="Segoe UI" w:cs="Segoe UI"/>
      <w:sz w:val="18"/>
      <w:szCs w:val="18"/>
    </w:rPr>
  </w:style>
  <w:style w:type="paragraph" w:styleId="Paragraphedeliste">
    <w:name w:val="List Paragraph"/>
    <w:aliases w:val="Paragraphe,Paragraph,Paragraphe de liste PBLH,Normal bullet 2,Bullet list,Figure_name,Equipment,Numbered Indented Text,List Paragraph1,lp1,List Paragraph11,List Paragraph Char Char Char,List Paragraph Char Char,Citation List,Ha"/>
    <w:basedOn w:val="Normal"/>
    <w:link w:val="ParagraphedelisteCar"/>
    <w:uiPriority w:val="34"/>
    <w:qFormat/>
    <w:rsid w:val="00613936"/>
    <w:pPr>
      <w:ind w:left="720"/>
      <w:contextualSpacing/>
    </w:pPr>
  </w:style>
  <w:style w:type="paragraph" w:styleId="Objetducommentaire">
    <w:name w:val="annotation subject"/>
    <w:basedOn w:val="Commentaire"/>
    <w:next w:val="Commentaire"/>
    <w:link w:val="ObjetducommentaireCar"/>
    <w:uiPriority w:val="99"/>
    <w:semiHidden/>
    <w:unhideWhenUsed/>
    <w:rsid w:val="00D0698B"/>
    <w:pPr>
      <w:suppressAutoHyphens/>
      <w:spacing w:before="0" w:after="0"/>
      <w:ind w:firstLine="0"/>
      <w:jc w:val="left"/>
    </w:pPr>
    <w:rPr>
      <w:b/>
      <w:bCs/>
      <w:lang w:eastAsia="zh-CN"/>
    </w:rPr>
  </w:style>
  <w:style w:type="paragraph" w:customStyle="1" w:styleId="En-tteetpieddepageuser">
    <w:name w:val="En-tête et pied de page (user)"/>
    <w:basedOn w:val="Normal"/>
    <w:qFormat/>
  </w:style>
  <w:style w:type="paragraph" w:customStyle="1" w:styleId="En-tteetpieddepage">
    <w:name w:val="En-tête et pied de page"/>
    <w:basedOn w:val="Normal"/>
    <w:qFormat/>
  </w:style>
  <w:style w:type="paragraph" w:styleId="En-tte">
    <w:name w:val="header"/>
    <w:basedOn w:val="Normal"/>
    <w:link w:val="En-tteCar"/>
    <w:uiPriority w:val="99"/>
    <w:unhideWhenUsed/>
    <w:rsid w:val="00EC7C8C"/>
    <w:pPr>
      <w:tabs>
        <w:tab w:val="center" w:pos="4536"/>
        <w:tab w:val="right" w:pos="9072"/>
      </w:tabs>
    </w:pPr>
  </w:style>
  <w:style w:type="paragraph" w:styleId="Pieddepage">
    <w:name w:val="footer"/>
    <w:basedOn w:val="Normal"/>
    <w:link w:val="PieddepageCar"/>
    <w:uiPriority w:val="99"/>
    <w:unhideWhenUsed/>
    <w:rsid w:val="00EC7C8C"/>
    <w:pPr>
      <w:tabs>
        <w:tab w:val="center" w:pos="4536"/>
        <w:tab w:val="right" w:pos="9072"/>
      </w:tabs>
    </w:pPr>
  </w:style>
  <w:style w:type="paragraph" w:styleId="NormalWeb">
    <w:name w:val="Normal (Web)"/>
    <w:basedOn w:val="Normal"/>
    <w:uiPriority w:val="99"/>
    <w:unhideWhenUsed/>
    <w:rsid w:val="005D39F2"/>
    <w:pPr>
      <w:suppressAutoHyphens w:val="0"/>
      <w:spacing w:beforeAutospacing="1" w:line="276" w:lineRule="auto"/>
    </w:pPr>
    <w:rPr>
      <w:color w:val="000000"/>
      <w:lang w:eastAsia="fr-FR"/>
    </w:rPr>
  </w:style>
  <w:style w:type="paragraph" w:styleId="Notedebasdepage">
    <w:name w:val="footnote text"/>
    <w:basedOn w:val="Normal"/>
    <w:link w:val="NotedebasdepageCar"/>
    <w:uiPriority w:val="99"/>
    <w:semiHidden/>
    <w:unhideWhenUsed/>
    <w:rsid w:val="002B7328"/>
    <w:rPr>
      <w:sz w:val="20"/>
      <w:szCs w:val="20"/>
    </w:rPr>
  </w:style>
  <w:style w:type="paragraph" w:styleId="Rvision">
    <w:name w:val="Revision"/>
    <w:uiPriority w:val="99"/>
    <w:semiHidden/>
    <w:rsid w:val="004F0C6F"/>
    <w:pPr>
      <w:suppressAutoHyphens w:val="0"/>
    </w:pPr>
    <w:rPr>
      <w:rFonts w:ascii="Times New Roman" w:eastAsia="Times New Roman" w:hAnsi="Times New Roman" w:cs="Times New Roman"/>
      <w:sz w:val="24"/>
      <w:szCs w:val="24"/>
      <w:lang w:eastAsia="zh-CN"/>
    </w:rPr>
  </w:style>
  <w:style w:type="numbering" w:customStyle="1" w:styleId="Pasdeliste">
    <w:name w:val="Pas de liste"/>
    <w:uiPriority w:val="99"/>
    <w:semiHidden/>
    <w:unhideWhenUsed/>
    <w:qFormat/>
  </w:style>
  <w:style w:type="numbering" w:customStyle="1" w:styleId="Pasdelisteuser">
    <w:name w:val="Pas de liste (user)"/>
    <w:uiPriority w:val="99"/>
    <w:semiHidden/>
    <w:unhideWhenUsed/>
    <w:qFormat/>
  </w:style>
  <w:style w:type="numbering" w:customStyle="1" w:styleId="Style2">
    <w:name w:val="Style2"/>
    <w:uiPriority w:val="99"/>
    <w:rsid w:val="00E4798F"/>
    <w:pPr>
      <w:numPr>
        <w:numId w:val="4"/>
      </w:numPr>
    </w:pPr>
  </w:style>
  <w:style w:type="character" w:customStyle="1" w:styleId="ParagraphedelisteCar">
    <w:name w:val="Paragraphe de liste Car"/>
    <w:aliases w:val="Paragraphe Car,Paragraph Car,Paragraphe de liste PBLH Car,Normal bullet 2 Car,Bullet list Car,Figure_name Car,Equipment Car,Numbered Indented Text Car,List Paragraph1 Car,lp1 Car,List Paragraph11 Car,List Paragraph Char Char Car"/>
    <w:basedOn w:val="Policepardfaut"/>
    <w:link w:val="Paragraphedeliste"/>
    <w:uiPriority w:val="34"/>
    <w:qFormat/>
    <w:rsid w:val="00E4798F"/>
    <w:rPr>
      <w:rFonts w:ascii="Times New Roman" w:eastAsia="Times New Roman" w:hAnsi="Times New Roman" w:cs="Times New Roman"/>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Thème Offic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FC0C87-96E7-4F65-88CB-9450D16E15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225</TotalTime>
  <Pages>3</Pages>
  <Words>1230</Words>
  <Characters>6769</Characters>
  <Application>Microsoft Office Word</Application>
  <DocSecurity>0</DocSecurity>
  <Lines>56</Lines>
  <Paragraphs>15</Paragraphs>
  <ScaleCrop>false</ScaleCrop>
  <HeadingPairs>
    <vt:vector size="2" baseType="variant">
      <vt:variant>
        <vt:lpstr>Titre</vt:lpstr>
      </vt:variant>
      <vt:variant>
        <vt:i4>1</vt:i4>
      </vt:variant>
    </vt:vector>
  </HeadingPairs>
  <TitlesOfParts>
    <vt:vector size="1" baseType="lpstr">
      <vt:lpstr/>
    </vt:vector>
  </TitlesOfParts>
  <Company>MTES</Company>
  <LinksUpToDate>false</LinksUpToDate>
  <CharactersWithSpaces>7984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FEVRE Cecile</dc:creator>
  <dc:description/>
  <cp:lastModifiedBy>PATUREAU Adeline</cp:lastModifiedBy>
  <cp:revision>6</cp:revision>
  <cp:lastPrinted>2021-08-12T10:47:00Z</cp:lastPrinted>
  <dcterms:created xsi:type="dcterms:W3CDTF">2026-08-04T08:05:00Z</dcterms:created>
  <dcterms:modified xsi:type="dcterms:W3CDTF">2026-08-07T09:09:00Z</dcterms:modified>
  <dc:language>fr-FR</dc:language>
</cp:coreProperties>
</file>