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71E0C2" w14:textId="1685F419" w:rsidR="00762B2F" w:rsidRDefault="00762B2F" w:rsidP="005F3EA3">
      <w:pPr>
        <w:spacing w:after="0" w:line="240" w:lineRule="auto"/>
        <w:jc w:val="center"/>
        <w:rPr>
          <w:rFonts w:ascii="Tenorite" w:hAnsi="Tenorite" w:cs="Tahoma"/>
          <w:b/>
          <w:color w:val="EF671A"/>
          <w:sz w:val="32"/>
          <w:szCs w:val="32"/>
          <w:u w:val="single"/>
        </w:rPr>
      </w:pPr>
      <w:r>
        <w:rPr>
          <w:rFonts w:ascii="Tenorite" w:hAnsi="Tenorite" w:cs="Tahoma"/>
          <w:b/>
          <w:color w:val="EF671A"/>
          <w:sz w:val="32"/>
          <w:szCs w:val="32"/>
          <w:u w:val="single"/>
        </w:rPr>
        <w:t>BULLETIN DE VEILLE REGLEMENTAIRE</w:t>
      </w:r>
    </w:p>
    <w:p w14:paraId="0EAADBB5" w14:textId="3A92C6D2" w:rsidR="00762B2F" w:rsidRDefault="00762B2F" w:rsidP="005F3EA3">
      <w:pPr>
        <w:spacing w:after="0" w:line="240" w:lineRule="auto"/>
        <w:jc w:val="center"/>
        <w:rPr>
          <w:rFonts w:ascii="Tenorite" w:hAnsi="Tenorite" w:cs="Tahoma"/>
          <w:b/>
          <w:color w:val="EF671A"/>
          <w:sz w:val="32"/>
          <w:szCs w:val="32"/>
          <w:u w:val="single"/>
        </w:rPr>
      </w:pPr>
      <w:r>
        <w:rPr>
          <w:rFonts w:ascii="Tenorite" w:hAnsi="Tenorite" w:cs="Tahoma"/>
          <w:b/>
          <w:color w:val="EF671A"/>
          <w:sz w:val="32"/>
          <w:szCs w:val="32"/>
          <w:u w:val="single"/>
        </w:rPr>
        <w:t>N° 4 bis – septembre 2024</w:t>
      </w:r>
    </w:p>
    <w:p w14:paraId="2CF377B4" w14:textId="77777777" w:rsidR="00762B2F" w:rsidRPr="00762B2F" w:rsidRDefault="00762B2F" w:rsidP="005F3EA3">
      <w:pPr>
        <w:spacing w:after="0" w:line="240" w:lineRule="auto"/>
        <w:jc w:val="center"/>
        <w:rPr>
          <w:rFonts w:ascii="Tenorite" w:hAnsi="Tenorite" w:cs="Tahoma"/>
          <w:b/>
          <w:color w:val="EF671A"/>
          <w:sz w:val="18"/>
          <w:szCs w:val="18"/>
          <w:u w:val="single"/>
        </w:rPr>
      </w:pPr>
    </w:p>
    <w:p w14:paraId="21B1C470" w14:textId="3EFAA556" w:rsidR="00762B2F" w:rsidRDefault="00762B2F" w:rsidP="005F3EA3">
      <w:pPr>
        <w:spacing w:after="0" w:line="240" w:lineRule="auto"/>
        <w:jc w:val="center"/>
        <w:rPr>
          <w:rFonts w:ascii="Tenorite" w:hAnsi="Tenorite" w:cs="Tahoma"/>
          <w:b/>
          <w:sz w:val="24"/>
          <w:szCs w:val="24"/>
          <w:u w:val="single"/>
        </w:rPr>
      </w:pPr>
      <w:r w:rsidRPr="00762B2F">
        <w:rPr>
          <w:rFonts w:ascii="Tenorite" w:hAnsi="Tenorite" w:cs="Tahoma"/>
          <w:b/>
          <w:sz w:val="24"/>
          <w:szCs w:val="24"/>
          <w:u w:val="single"/>
        </w:rPr>
        <w:t>Sécurité des aliments et information du consommateur (France et Europe)</w:t>
      </w:r>
    </w:p>
    <w:p w14:paraId="07FF95DA" w14:textId="77777777" w:rsidR="00762B2F" w:rsidRPr="00762B2F" w:rsidRDefault="00762B2F" w:rsidP="005F3EA3">
      <w:pPr>
        <w:spacing w:after="0" w:line="240" w:lineRule="auto"/>
        <w:jc w:val="center"/>
        <w:rPr>
          <w:rFonts w:ascii="Tenorite" w:hAnsi="Tenorite" w:cs="Tahoma"/>
          <w:b/>
          <w:sz w:val="24"/>
          <w:szCs w:val="24"/>
          <w:u w:val="single"/>
        </w:rPr>
      </w:pPr>
    </w:p>
    <w:p w14:paraId="6E6C5449" w14:textId="60F42443" w:rsidR="002B7CB6" w:rsidRPr="005F3EA3"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 xml:space="preserve">Partie 1 : Règlementation générale </w:t>
      </w:r>
    </w:p>
    <w:p w14:paraId="4CEA5421"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ADDITIFS, AUXILIAIRES, …</w:t>
      </w:r>
    </w:p>
    <w:p w14:paraId="091C2FFA" w14:textId="37B427C5" w:rsidR="002B7CB6" w:rsidRPr="007C0074" w:rsidRDefault="007C0074" w:rsidP="005335D7">
      <w:pPr>
        <w:spacing w:after="0" w:line="240" w:lineRule="auto"/>
        <w:ind w:left="284" w:hanging="142"/>
        <w:rPr>
          <w:rFonts w:ascii="Tenorite" w:hAnsi="Tenorite"/>
          <w:b/>
          <w:bCs/>
          <w:sz w:val="24"/>
          <w:szCs w:val="28"/>
        </w:rPr>
      </w:pPr>
      <w:r w:rsidRPr="007C0074">
        <w:rPr>
          <w:rFonts w:ascii="Tenorite" w:hAnsi="Tenorite"/>
          <w:b/>
          <w:bCs/>
          <w:sz w:val="24"/>
          <w:szCs w:val="28"/>
        </w:rPr>
        <w:t>/</w:t>
      </w:r>
    </w:p>
    <w:p w14:paraId="18AAB709" w14:textId="77777777" w:rsidR="007C0074" w:rsidRPr="005F3EA3" w:rsidRDefault="007C0074" w:rsidP="005335D7">
      <w:pPr>
        <w:spacing w:after="0" w:line="240" w:lineRule="auto"/>
        <w:ind w:left="284" w:hanging="142"/>
        <w:rPr>
          <w:rFonts w:ascii="Tenorite" w:hAnsi="Tenorite"/>
          <w:sz w:val="18"/>
        </w:rPr>
      </w:pPr>
    </w:p>
    <w:p w14:paraId="19693B20"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4E9D1989" w14:textId="77777777" w:rsidR="00BF4B08" w:rsidRPr="005335D7" w:rsidRDefault="00BF4B08" w:rsidP="005335D7">
      <w:pPr>
        <w:shd w:val="clear" w:color="auto" w:fill="FFFFFF"/>
        <w:spacing w:after="0" w:line="240" w:lineRule="auto"/>
        <w:ind w:left="142"/>
        <w:jc w:val="both"/>
        <w:rPr>
          <w:rFonts w:ascii="Tenorite" w:eastAsia="Times New Roman" w:hAnsi="Tenorite" w:cs="Times New Roman"/>
          <w:sz w:val="20"/>
          <w:szCs w:val="20"/>
          <w:lang w:eastAsia="fr-FR"/>
        </w:rPr>
      </w:pPr>
      <w:hyperlink r:id="rId7" w:history="1">
        <w:r w:rsidRPr="00BF4B08">
          <w:rPr>
            <w:rFonts w:ascii="Tenorite" w:eastAsia="Times New Roman" w:hAnsi="Tenorite" w:cs="Times New Roman"/>
            <w:color w:val="0000FF"/>
            <w:sz w:val="20"/>
            <w:szCs w:val="20"/>
            <w:lang w:eastAsia="fr-FR"/>
          </w:rPr>
          <w:t>Règlement</w:t>
        </w:r>
      </w:hyperlink>
      <w:r w:rsidRPr="00BF4B08">
        <w:rPr>
          <w:rFonts w:ascii="Tenorite" w:eastAsia="Times New Roman" w:hAnsi="Tenorite" w:cs="Times New Roman"/>
          <w:color w:val="636363"/>
          <w:sz w:val="20"/>
          <w:szCs w:val="20"/>
          <w:lang w:eastAsia="fr-FR"/>
        </w:rPr>
        <w:t xml:space="preserve"> </w:t>
      </w:r>
      <w:r w:rsidRPr="00BF4B08">
        <w:rPr>
          <w:rFonts w:ascii="Tenorite" w:eastAsia="Times New Roman" w:hAnsi="Tenorite" w:cs="Times New Roman"/>
          <w:sz w:val="20"/>
          <w:szCs w:val="20"/>
          <w:lang w:eastAsia="fr-FR"/>
        </w:rPr>
        <w:t xml:space="preserve">d’exécution (UE) 2024/2463 de la Commission du 12 septembre 2024 établissant les </w:t>
      </w:r>
      <w:r w:rsidRPr="00BF4B08">
        <w:rPr>
          <w:rFonts w:ascii="Tenorite" w:eastAsia="Times New Roman" w:hAnsi="Tenorite" w:cs="Times New Roman"/>
          <w:b/>
          <w:bCs/>
          <w:sz w:val="20"/>
          <w:szCs w:val="20"/>
          <w:lang w:eastAsia="fr-FR"/>
        </w:rPr>
        <w:t>méthodes d’analyse</w:t>
      </w:r>
      <w:r w:rsidRPr="00BF4B08">
        <w:rPr>
          <w:rFonts w:ascii="Tenorite" w:eastAsia="Times New Roman" w:hAnsi="Tenorite" w:cs="Times New Roman"/>
          <w:sz w:val="20"/>
          <w:szCs w:val="20"/>
          <w:lang w:eastAsia="fr-FR"/>
        </w:rPr>
        <w:t xml:space="preserve"> à employer lors des </w:t>
      </w:r>
      <w:r w:rsidRPr="00BF4B08">
        <w:rPr>
          <w:rFonts w:ascii="Tenorite" w:eastAsia="Times New Roman" w:hAnsi="Tenorite" w:cs="Times New Roman"/>
          <w:b/>
          <w:bCs/>
          <w:sz w:val="20"/>
          <w:szCs w:val="20"/>
          <w:lang w:eastAsia="fr-FR"/>
        </w:rPr>
        <w:t>contrôles officiels</w:t>
      </w:r>
      <w:r w:rsidRPr="00BF4B08">
        <w:rPr>
          <w:rFonts w:ascii="Tenorite" w:eastAsia="Times New Roman" w:hAnsi="Tenorite" w:cs="Times New Roman"/>
          <w:sz w:val="20"/>
          <w:szCs w:val="20"/>
          <w:lang w:eastAsia="fr-FR"/>
        </w:rPr>
        <w:t xml:space="preserve"> effectués pour vérifier la conformité des exploitants du secteur alimentaire avec le règlement (CE) no 2073/2005 (JOUE 13/09/2024)</w:t>
      </w:r>
    </w:p>
    <w:p w14:paraId="60ADFB6A" w14:textId="77777777" w:rsidR="00BF4B08" w:rsidRPr="00BF4B08" w:rsidRDefault="00BF4B08" w:rsidP="005335D7">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BE98B6F" w14:textId="77777777" w:rsidR="00BF4B08" w:rsidRPr="005335D7" w:rsidRDefault="00BF4B08" w:rsidP="005335D7">
      <w:pPr>
        <w:shd w:val="clear" w:color="auto" w:fill="FFFFFF"/>
        <w:spacing w:after="0" w:line="240" w:lineRule="auto"/>
        <w:ind w:left="142"/>
        <w:jc w:val="both"/>
        <w:rPr>
          <w:rFonts w:ascii="Tenorite" w:eastAsia="Times New Roman" w:hAnsi="Tenorite" w:cs="Times New Roman"/>
          <w:sz w:val="20"/>
          <w:szCs w:val="20"/>
          <w:lang w:eastAsia="fr-FR"/>
        </w:rPr>
      </w:pPr>
      <w:hyperlink r:id="rId8" w:history="1">
        <w:r w:rsidRPr="00BF4B08">
          <w:rPr>
            <w:rFonts w:ascii="Tenorite" w:eastAsia="Times New Roman" w:hAnsi="Tenorite" w:cs="Times New Roman"/>
            <w:color w:val="0000FF"/>
            <w:sz w:val="20"/>
            <w:szCs w:val="20"/>
            <w:lang w:eastAsia="fr-FR"/>
          </w:rPr>
          <w:t>Règlement</w:t>
        </w:r>
      </w:hyperlink>
      <w:r w:rsidRPr="00BF4B08">
        <w:rPr>
          <w:rFonts w:ascii="Tenorite" w:eastAsia="Times New Roman" w:hAnsi="Tenorite" w:cs="Times New Roman"/>
          <w:color w:val="636363"/>
          <w:sz w:val="20"/>
          <w:szCs w:val="20"/>
          <w:lang w:eastAsia="fr-FR"/>
        </w:rPr>
        <w:t xml:space="preserve"> </w:t>
      </w:r>
      <w:r w:rsidRPr="00BF4B08">
        <w:rPr>
          <w:rFonts w:ascii="Tenorite" w:eastAsia="Times New Roman" w:hAnsi="Tenorite" w:cs="Times New Roman"/>
          <w:sz w:val="20"/>
          <w:szCs w:val="20"/>
          <w:lang w:eastAsia="fr-FR"/>
        </w:rPr>
        <w:t xml:space="preserve">délégué (UE) 2024/2562 de la Commission du 3 juin 2024 modifiant le règlement délégué (UE) 2022/1644 en ce qui concerne certains </w:t>
      </w:r>
      <w:r w:rsidRPr="00BF4B08">
        <w:rPr>
          <w:rFonts w:ascii="Tenorite" w:eastAsia="Times New Roman" w:hAnsi="Tenorite" w:cs="Times New Roman"/>
          <w:b/>
          <w:bCs/>
          <w:sz w:val="20"/>
          <w:szCs w:val="20"/>
          <w:lang w:eastAsia="fr-FR"/>
        </w:rPr>
        <w:t>critères de sélection des échantillons</w:t>
      </w:r>
      <w:r w:rsidRPr="00BF4B08">
        <w:rPr>
          <w:rFonts w:ascii="Tenorite" w:eastAsia="Times New Roman" w:hAnsi="Tenorite" w:cs="Times New Roman"/>
          <w:sz w:val="20"/>
          <w:szCs w:val="20"/>
          <w:lang w:eastAsia="fr-FR"/>
        </w:rPr>
        <w:t xml:space="preserve"> (JOUE 27/09/2024)</w:t>
      </w:r>
    </w:p>
    <w:p w14:paraId="5CB6D4D3" w14:textId="77777777" w:rsidR="00BF4B08" w:rsidRPr="00BF4B08" w:rsidRDefault="00BF4B08" w:rsidP="005335D7">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49972C64" w14:textId="77777777" w:rsidR="00BF4B08" w:rsidRPr="00BF4B08" w:rsidRDefault="00BF4B08" w:rsidP="005335D7">
      <w:pPr>
        <w:shd w:val="clear" w:color="auto" w:fill="FFFFFF"/>
        <w:spacing w:after="0" w:line="240" w:lineRule="auto"/>
        <w:ind w:left="142"/>
        <w:jc w:val="both"/>
        <w:rPr>
          <w:rFonts w:ascii="Tenorite" w:eastAsia="Times New Roman" w:hAnsi="Tenorite" w:cs="Times New Roman"/>
          <w:sz w:val="20"/>
          <w:szCs w:val="20"/>
          <w:lang w:eastAsia="fr-FR"/>
        </w:rPr>
      </w:pPr>
      <w:hyperlink r:id="rId9" w:history="1">
        <w:r w:rsidRPr="00BF4B08">
          <w:rPr>
            <w:rFonts w:ascii="Tenorite" w:eastAsia="Times New Roman" w:hAnsi="Tenorite" w:cs="Times New Roman"/>
            <w:color w:val="0000FF"/>
            <w:sz w:val="20"/>
            <w:szCs w:val="20"/>
            <w:lang w:eastAsia="fr-FR"/>
          </w:rPr>
          <w:t>Règlement</w:t>
        </w:r>
      </w:hyperlink>
      <w:r w:rsidRPr="00BF4B08">
        <w:rPr>
          <w:rFonts w:ascii="Tenorite" w:eastAsia="Times New Roman" w:hAnsi="Tenorite" w:cs="Times New Roman"/>
          <w:color w:val="636363"/>
          <w:sz w:val="20"/>
          <w:szCs w:val="20"/>
          <w:lang w:eastAsia="fr-FR"/>
        </w:rPr>
        <w:t xml:space="preserve"> </w:t>
      </w:r>
      <w:r w:rsidRPr="00BF4B08">
        <w:rPr>
          <w:rFonts w:ascii="Tenorite" w:eastAsia="Times New Roman" w:hAnsi="Tenorite" w:cs="Times New Roman"/>
          <w:sz w:val="20"/>
          <w:szCs w:val="20"/>
          <w:lang w:eastAsia="fr-FR"/>
        </w:rPr>
        <w:t xml:space="preserve">d’exécution (UE) 2024/2563 de la Commission du 24 septembre 2024 modifiant le règlement d’exécution (UE) 2022/1646 en ce qui concerne le contenu supplémentaire des </w:t>
      </w:r>
      <w:r w:rsidRPr="00BF4B08">
        <w:rPr>
          <w:rFonts w:ascii="Tenorite" w:eastAsia="Times New Roman" w:hAnsi="Tenorite" w:cs="Times New Roman"/>
          <w:b/>
          <w:bCs/>
          <w:sz w:val="20"/>
          <w:szCs w:val="20"/>
          <w:lang w:eastAsia="fr-FR"/>
        </w:rPr>
        <w:t>plans nationaux de contrôle fondé sur les risques</w:t>
      </w:r>
      <w:r w:rsidRPr="00BF4B08">
        <w:rPr>
          <w:rFonts w:ascii="Tenorite" w:eastAsia="Times New Roman" w:hAnsi="Tenorite" w:cs="Times New Roman"/>
          <w:sz w:val="20"/>
          <w:szCs w:val="20"/>
          <w:lang w:eastAsia="fr-FR"/>
        </w:rPr>
        <w:t xml:space="preserve"> et du plan national de surveillance aléatoire, la présentation de ces plans et données par les États membres ainsi que les fréquences minimales d’échantillonnage (JOUE 27/09/2024)</w:t>
      </w:r>
    </w:p>
    <w:p w14:paraId="750E0207" w14:textId="77777777" w:rsidR="002B7CB6" w:rsidRPr="005F3EA3" w:rsidRDefault="002B7CB6" w:rsidP="005335D7">
      <w:pPr>
        <w:spacing w:after="0" w:line="240" w:lineRule="auto"/>
        <w:ind w:left="284" w:hanging="142"/>
        <w:rPr>
          <w:rFonts w:ascii="Tenorite" w:eastAsia="MS Gothic" w:hAnsi="Tenorite" w:cs="Segoe UI Symbol"/>
          <w:b/>
          <w:sz w:val="28"/>
        </w:rPr>
      </w:pPr>
    </w:p>
    <w:p w14:paraId="3570CAB8"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0AAF0244" w14:textId="77777777" w:rsidR="005335D7" w:rsidRPr="005335D7" w:rsidRDefault="005335D7" w:rsidP="005335D7">
      <w:pPr>
        <w:spacing w:after="0" w:line="240" w:lineRule="auto"/>
        <w:ind w:left="142"/>
        <w:jc w:val="both"/>
        <w:rPr>
          <w:rFonts w:ascii="Tenorite" w:eastAsia="Calibri" w:hAnsi="Tenorite" w:cs="Arial"/>
          <w:color w:val="3C3C3C"/>
          <w:sz w:val="20"/>
          <w:szCs w:val="20"/>
        </w:rPr>
      </w:pPr>
      <w:hyperlink r:id="rId10" w:history="1">
        <w:r w:rsidRPr="005335D7">
          <w:rPr>
            <w:rFonts w:ascii="Tenorite" w:eastAsia="Calibri" w:hAnsi="Tenorite" w:cs="Arial"/>
            <w:color w:val="0000FF"/>
            <w:sz w:val="20"/>
            <w:szCs w:val="20"/>
          </w:rPr>
          <w:t>AVIS</w:t>
        </w:r>
      </w:hyperlink>
      <w:r w:rsidRPr="005335D7">
        <w:rPr>
          <w:rFonts w:ascii="Tenorite" w:eastAsia="Calibri" w:hAnsi="Tenorite" w:cs="Arial"/>
          <w:color w:val="3C3C3C"/>
          <w:sz w:val="20"/>
          <w:szCs w:val="20"/>
        </w:rPr>
        <w:t xml:space="preserve"> relatif à l’évaluation du phosphite de tris(4-nonylphényle, ramifié) et son identification en tant que substance extrêmement préoccupante (SVHC) dans le cadre de REACH – avis signé le 22/08/2024</w:t>
      </w:r>
    </w:p>
    <w:p w14:paraId="76F6AF42" w14:textId="77777777" w:rsidR="005335D7" w:rsidRPr="005335D7" w:rsidRDefault="005335D7" w:rsidP="005335D7">
      <w:pPr>
        <w:spacing w:after="0" w:line="240" w:lineRule="auto"/>
        <w:ind w:left="142"/>
        <w:jc w:val="both"/>
        <w:rPr>
          <w:rFonts w:ascii="Tenorite" w:eastAsia="Calibri" w:hAnsi="Tenorite" w:cs="Arial"/>
          <w:color w:val="3C3C3C"/>
          <w:sz w:val="20"/>
          <w:szCs w:val="20"/>
        </w:rPr>
      </w:pPr>
    </w:p>
    <w:p w14:paraId="70AE7EE5"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11" w:history="1">
        <w:r w:rsidRPr="005335D7">
          <w:rPr>
            <w:rFonts w:ascii="Tenorite" w:eastAsia="Calibri" w:hAnsi="Tenorite" w:cs="Times New Roman"/>
            <w:b/>
            <w:bCs/>
            <w:color w:val="0000FF"/>
            <w:sz w:val="20"/>
            <w:szCs w:val="20"/>
          </w:rPr>
          <w:t>Arrêté</w:t>
        </w:r>
      </w:hyperlink>
      <w:r w:rsidRPr="005335D7">
        <w:rPr>
          <w:rFonts w:ascii="Tenorite" w:eastAsia="Calibri" w:hAnsi="Tenorite" w:cs="Times New Roman"/>
          <w:sz w:val="20"/>
          <w:szCs w:val="20"/>
        </w:rPr>
        <w:t> du 24-09-2024 - Arrêté du 24 septembre 2024 portant modification de l'arrêté du 9 mai 2017 définissant les actions standardisées d'économie de produits phytopharmaceutiques signé par la directrice générale de l'alimentation (DGAL)</w:t>
      </w:r>
    </w:p>
    <w:p w14:paraId="71470436"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4C79708C"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12" w:history="1">
        <w:r w:rsidRPr="005335D7">
          <w:rPr>
            <w:rFonts w:ascii="Tenorite" w:eastAsia="Calibri" w:hAnsi="Tenorite" w:cs="Times New Roman"/>
            <w:color w:val="0000FF"/>
            <w:sz w:val="20"/>
            <w:szCs w:val="20"/>
          </w:rPr>
          <w:t>Avis</w:t>
        </w:r>
      </w:hyperlink>
      <w:r w:rsidRPr="005335D7">
        <w:rPr>
          <w:rFonts w:ascii="Tenorite" w:eastAsia="Calibri" w:hAnsi="Tenorite" w:cs="Times New Roman"/>
          <w:sz w:val="20"/>
          <w:szCs w:val="20"/>
        </w:rPr>
        <w:t xml:space="preserve"> retirant l'avis publié par le ministère du travail en 2016 relatif aux fabricants, distributeurs et utilisateurs d'équipements de protection individuelle destinés à protéger des produits phytopharmaceutiques (JORF 20/09/2024)</w:t>
      </w:r>
    </w:p>
    <w:p w14:paraId="69DF781C"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3D0FAE6D"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13" w:history="1">
        <w:r w:rsidRPr="005335D7">
          <w:rPr>
            <w:rFonts w:ascii="Tenorite" w:eastAsia="Calibri" w:hAnsi="Tenorite" w:cs="Times New Roman"/>
            <w:color w:val="0000FF"/>
            <w:sz w:val="20"/>
            <w:szCs w:val="20"/>
          </w:rPr>
          <w:t>Décret</w:t>
        </w:r>
      </w:hyperlink>
      <w:r w:rsidRPr="005335D7">
        <w:rPr>
          <w:rFonts w:ascii="Tenorite" w:eastAsia="Calibri" w:hAnsi="Tenorite" w:cs="Times New Roman"/>
          <w:sz w:val="20"/>
          <w:szCs w:val="20"/>
        </w:rPr>
        <w:t xml:space="preserve"> n°2024-893 du 24 septembre 2024 relatif à l'entrée en vigueur immédiate d'un arrêté [TERMIDOR SC] (JORF 25/09/2024)</w:t>
      </w:r>
    </w:p>
    <w:p w14:paraId="1DA366CA" w14:textId="77777777" w:rsidR="005335D7" w:rsidRPr="005335D7" w:rsidRDefault="005335D7" w:rsidP="005335D7">
      <w:pPr>
        <w:spacing w:after="0" w:line="240" w:lineRule="auto"/>
        <w:ind w:left="142"/>
        <w:jc w:val="both"/>
        <w:rPr>
          <w:rFonts w:ascii="Tenorite" w:eastAsia="Calibri" w:hAnsi="Tenorite" w:cs="Times New Roman"/>
          <w:color w:val="0000FF"/>
          <w:sz w:val="20"/>
          <w:szCs w:val="20"/>
        </w:rPr>
      </w:pPr>
    </w:p>
    <w:p w14:paraId="20AB0909" w14:textId="77777777" w:rsidR="005335D7" w:rsidRPr="005335D7" w:rsidRDefault="005335D7" w:rsidP="005335D7">
      <w:pPr>
        <w:spacing w:after="0" w:line="240" w:lineRule="auto"/>
        <w:ind w:left="142"/>
        <w:jc w:val="both"/>
        <w:rPr>
          <w:rFonts w:ascii="Tenorite" w:eastAsia="Times New Roman" w:hAnsi="Tenorite" w:cs="Times New Roman"/>
          <w:sz w:val="20"/>
          <w:szCs w:val="20"/>
          <w:lang w:eastAsia="fr-FR"/>
        </w:rPr>
      </w:pPr>
      <w:r w:rsidRPr="005335D7">
        <w:rPr>
          <w:rFonts w:ascii="Tenorite" w:eastAsia="Times New Roman" w:hAnsi="Tenorite" w:cs="Times New Roman"/>
          <w:b/>
          <w:bCs/>
          <w:sz w:val="20"/>
          <w:szCs w:val="20"/>
          <w:lang w:eastAsia="fr-FR"/>
        </w:rPr>
        <w:t>Note de service </w:t>
      </w:r>
      <w:hyperlink r:id="rId14" w:history="1">
        <w:r w:rsidRPr="005335D7">
          <w:rPr>
            <w:rFonts w:ascii="Tenorite" w:eastAsia="Times New Roman" w:hAnsi="Tenorite" w:cs="Times New Roman"/>
            <w:color w:val="0088CC"/>
            <w:sz w:val="20"/>
            <w:szCs w:val="20"/>
            <w:u w:val="single"/>
            <w:lang w:eastAsia="fr-FR"/>
          </w:rPr>
          <w:t>DGAL/SDSPV/2024-537</w:t>
        </w:r>
      </w:hyperlink>
      <w:r w:rsidRPr="005335D7">
        <w:rPr>
          <w:rFonts w:ascii="Tenorite" w:eastAsia="Times New Roman" w:hAnsi="Tenorite" w:cs="Times New Roman"/>
          <w:color w:val="636363"/>
          <w:sz w:val="20"/>
          <w:szCs w:val="20"/>
          <w:lang w:eastAsia="fr-FR"/>
        </w:rPr>
        <w:t> </w:t>
      </w:r>
      <w:r w:rsidRPr="005335D7">
        <w:rPr>
          <w:rFonts w:ascii="Tenorite" w:eastAsia="Times New Roman" w:hAnsi="Tenorite" w:cs="Times New Roman"/>
          <w:sz w:val="20"/>
          <w:szCs w:val="20"/>
          <w:lang w:eastAsia="fr-FR"/>
        </w:rPr>
        <w:t>du 24-09-2024 - Liste des produits phytopharmaceutiques de biocontrôle, au titre des articles L.253-5 et L.253-7 du code rural et de la pêche maritime. (DGAL)</w:t>
      </w:r>
    </w:p>
    <w:p w14:paraId="5C8653D8"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284B5A70"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15"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2024/2175 de la Commission du 3 septembre 2024 accordant une autorisation de l’Union pour la famille de produits biocides dénommée </w:t>
      </w:r>
      <w:proofErr w:type="spellStart"/>
      <w:r w:rsidRPr="005335D7">
        <w:rPr>
          <w:rFonts w:ascii="Tenorite" w:eastAsia="Calibri" w:hAnsi="Tenorite" w:cs="Times New Roman"/>
          <w:sz w:val="20"/>
          <w:szCs w:val="20"/>
        </w:rPr>
        <w:t>Contec</w:t>
      </w:r>
      <w:proofErr w:type="spellEnd"/>
      <w:r w:rsidRPr="005335D7">
        <w:rPr>
          <w:rFonts w:ascii="Tenorite" w:eastAsia="Calibri" w:hAnsi="Tenorite" w:cs="Times New Roman"/>
          <w:sz w:val="20"/>
          <w:szCs w:val="20"/>
        </w:rPr>
        <w:t xml:space="preserve"> Calcium Hypochlorite Product Family conformément au règlement (UE) no 528/2012 du Parlement européen et du Conseil (JOUE 04/09/2024)</w:t>
      </w:r>
    </w:p>
    <w:p w14:paraId="6DD953C6"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456FD202"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16"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2024/2186 de la Commission du 3 septembre 2024 renouvelant l’approbation de la substance active captane conformément au règlement (CE) no 1107/2009 du Parlement européen et du Conseil, et modifiant le règlement d’exécution (UE) no 540/2011 de la Commission (JOUE 04/09/2024)</w:t>
      </w:r>
    </w:p>
    <w:p w14:paraId="6DD872F6"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23BF3836"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17"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2024/2188 de la Commission du 3 septembre 2024 accordant une autorisation de l’Union pour la famille de produits biocides dénommée </w:t>
      </w:r>
      <w:proofErr w:type="spellStart"/>
      <w:r w:rsidRPr="005335D7">
        <w:rPr>
          <w:rFonts w:ascii="Tenorite" w:eastAsia="Calibri" w:hAnsi="Tenorite" w:cs="Times New Roman"/>
          <w:sz w:val="20"/>
          <w:szCs w:val="20"/>
        </w:rPr>
        <w:t>Kersia’s</w:t>
      </w:r>
      <w:proofErr w:type="spellEnd"/>
      <w:r w:rsidRPr="005335D7">
        <w:rPr>
          <w:rFonts w:ascii="Tenorite" w:eastAsia="Calibri" w:hAnsi="Tenorite" w:cs="Times New Roman"/>
          <w:sz w:val="20"/>
          <w:szCs w:val="20"/>
        </w:rPr>
        <w:t xml:space="preserve"> </w:t>
      </w:r>
      <w:proofErr w:type="spellStart"/>
      <w:r w:rsidRPr="005335D7">
        <w:rPr>
          <w:rFonts w:ascii="Tenorite" w:eastAsia="Calibri" w:hAnsi="Tenorite" w:cs="Times New Roman"/>
          <w:sz w:val="20"/>
          <w:szCs w:val="20"/>
        </w:rPr>
        <w:t>Lactic</w:t>
      </w:r>
      <w:proofErr w:type="spellEnd"/>
      <w:r w:rsidRPr="005335D7">
        <w:rPr>
          <w:rFonts w:ascii="Tenorite" w:eastAsia="Calibri" w:hAnsi="Tenorite" w:cs="Times New Roman"/>
          <w:sz w:val="20"/>
          <w:szCs w:val="20"/>
        </w:rPr>
        <w:t xml:space="preserve"> </w:t>
      </w:r>
      <w:proofErr w:type="spellStart"/>
      <w:r w:rsidRPr="005335D7">
        <w:rPr>
          <w:rFonts w:ascii="Tenorite" w:eastAsia="Calibri" w:hAnsi="Tenorite" w:cs="Times New Roman"/>
          <w:sz w:val="20"/>
          <w:szCs w:val="20"/>
        </w:rPr>
        <w:t>acid</w:t>
      </w:r>
      <w:proofErr w:type="spellEnd"/>
      <w:r w:rsidRPr="005335D7">
        <w:rPr>
          <w:rFonts w:ascii="Tenorite" w:eastAsia="Calibri" w:hAnsi="Tenorite" w:cs="Times New Roman"/>
          <w:sz w:val="20"/>
          <w:szCs w:val="20"/>
        </w:rPr>
        <w:t xml:space="preserve"> </w:t>
      </w:r>
      <w:proofErr w:type="spellStart"/>
      <w:r w:rsidRPr="005335D7">
        <w:rPr>
          <w:rFonts w:ascii="Tenorite" w:eastAsia="Calibri" w:hAnsi="Tenorite" w:cs="Times New Roman"/>
          <w:sz w:val="20"/>
          <w:szCs w:val="20"/>
        </w:rPr>
        <w:t>based</w:t>
      </w:r>
      <w:proofErr w:type="spellEnd"/>
      <w:r w:rsidRPr="005335D7">
        <w:rPr>
          <w:rFonts w:ascii="Tenorite" w:eastAsia="Calibri" w:hAnsi="Tenorite" w:cs="Times New Roman"/>
          <w:sz w:val="20"/>
          <w:szCs w:val="20"/>
        </w:rPr>
        <w:t xml:space="preserve"> </w:t>
      </w:r>
      <w:proofErr w:type="spellStart"/>
      <w:r w:rsidRPr="005335D7">
        <w:rPr>
          <w:rFonts w:ascii="Tenorite" w:eastAsia="Calibri" w:hAnsi="Tenorite" w:cs="Times New Roman"/>
          <w:sz w:val="20"/>
          <w:szCs w:val="20"/>
        </w:rPr>
        <w:t>products</w:t>
      </w:r>
      <w:proofErr w:type="spellEnd"/>
      <w:r w:rsidRPr="005335D7">
        <w:rPr>
          <w:rFonts w:ascii="Tenorite" w:eastAsia="Calibri" w:hAnsi="Tenorite" w:cs="Times New Roman"/>
          <w:sz w:val="20"/>
          <w:szCs w:val="20"/>
        </w:rPr>
        <w:t xml:space="preserve"> conformément au règlement (UE) no 528/2012 du Parlement européen et du Conseil (JOUE 04/09/2024)</w:t>
      </w:r>
    </w:p>
    <w:p w14:paraId="79DC385F"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50FD9E17" w14:textId="77777777" w:rsidR="00B72E15" w:rsidRDefault="005335D7" w:rsidP="005335D7">
      <w:pPr>
        <w:spacing w:after="0" w:line="240" w:lineRule="auto"/>
        <w:ind w:left="142"/>
        <w:jc w:val="both"/>
        <w:rPr>
          <w:rFonts w:ascii="Tenorite" w:eastAsia="Calibri" w:hAnsi="Tenorite" w:cs="Times New Roman"/>
          <w:sz w:val="20"/>
          <w:szCs w:val="20"/>
        </w:rPr>
      </w:pPr>
      <w:hyperlink r:id="rId18"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2024/2189 de la Commission du 3 septembre 2024 octroyant une autorisation de l’Union pour le produit biocide unique dénommé </w:t>
      </w:r>
      <w:proofErr w:type="spellStart"/>
      <w:r w:rsidRPr="005335D7">
        <w:rPr>
          <w:rFonts w:ascii="Tenorite" w:eastAsia="Calibri" w:hAnsi="Tenorite" w:cs="Times New Roman"/>
          <w:sz w:val="20"/>
          <w:szCs w:val="20"/>
        </w:rPr>
        <w:t>ClearKlens</w:t>
      </w:r>
      <w:proofErr w:type="spellEnd"/>
      <w:r w:rsidRPr="005335D7">
        <w:rPr>
          <w:rFonts w:ascii="Tenorite" w:eastAsia="Calibri" w:hAnsi="Tenorite" w:cs="Times New Roman"/>
          <w:sz w:val="20"/>
          <w:szCs w:val="20"/>
        </w:rPr>
        <w:t xml:space="preserve"> wipes </w:t>
      </w:r>
      <w:proofErr w:type="spellStart"/>
      <w:r w:rsidRPr="005335D7">
        <w:rPr>
          <w:rFonts w:ascii="Tenorite" w:eastAsia="Calibri" w:hAnsi="Tenorite" w:cs="Times New Roman"/>
          <w:sz w:val="20"/>
          <w:szCs w:val="20"/>
        </w:rPr>
        <w:t>based</w:t>
      </w:r>
      <w:proofErr w:type="spellEnd"/>
      <w:r w:rsidRPr="005335D7">
        <w:rPr>
          <w:rFonts w:ascii="Tenorite" w:eastAsia="Calibri" w:hAnsi="Tenorite" w:cs="Times New Roman"/>
          <w:sz w:val="20"/>
          <w:szCs w:val="20"/>
        </w:rPr>
        <w:t xml:space="preserve"> on IPA conformément au règlement (UE) no 528/2012 du Parlement européen et du Conseil (JOUE 04/09/2024)</w:t>
      </w:r>
    </w:p>
    <w:p w14:paraId="069A4BD2"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19"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2024/2194 de la Commission du 4 septembre 2024 modifiant le règlement d’exécution (UE) 2020/1991 en ce qui concerne les modifications administratives et les modifications mineures apportées à l’autorisation de l’Union pour la famille de produits biocides dénommée </w:t>
      </w:r>
      <w:proofErr w:type="spellStart"/>
      <w:r w:rsidRPr="005335D7">
        <w:rPr>
          <w:rFonts w:ascii="Tenorite" w:eastAsia="Calibri" w:hAnsi="Tenorite" w:cs="Times New Roman"/>
          <w:sz w:val="20"/>
          <w:szCs w:val="20"/>
        </w:rPr>
        <w:t>perform</w:t>
      </w:r>
      <w:proofErr w:type="spellEnd"/>
      <w:r w:rsidRPr="005335D7">
        <w:rPr>
          <w:rFonts w:ascii="Tenorite" w:eastAsia="Calibri" w:hAnsi="Tenorite" w:cs="Times New Roman"/>
          <w:sz w:val="20"/>
          <w:szCs w:val="20"/>
        </w:rPr>
        <w:t>-IPA (JOUE 05/09/2024)</w:t>
      </w:r>
    </w:p>
    <w:p w14:paraId="685B6465"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15275DDF"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20"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2024/2197 de la Commission du 4 septembre 2024 concernant la non-approbation de la poudre de coquille d’œuf en tant que substance de base conformément au règlement (CE) no 1107/2009 du Parlement européen et du Conseil concernant la mise sur le marché des produits phytopharmaceutiques (JOUE 05/09/2024)</w:t>
      </w:r>
    </w:p>
    <w:p w14:paraId="2248EC0F"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6294D031"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21"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2024/2198 de la Commission du 4 septembre 2024 renouvelant l’approbation de la substance active </w:t>
      </w:r>
      <w:proofErr w:type="spellStart"/>
      <w:r w:rsidRPr="005335D7">
        <w:rPr>
          <w:rFonts w:ascii="Tenorite" w:eastAsia="Calibri" w:hAnsi="Tenorite" w:cs="Times New Roman"/>
          <w:sz w:val="20"/>
          <w:szCs w:val="20"/>
        </w:rPr>
        <w:t>folpet</w:t>
      </w:r>
      <w:proofErr w:type="spellEnd"/>
      <w:r w:rsidRPr="005335D7">
        <w:rPr>
          <w:rFonts w:ascii="Tenorite" w:eastAsia="Calibri" w:hAnsi="Tenorite" w:cs="Times New Roman"/>
          <w:sz w:val="20"/>
          <w:szCs w:val="20"/>
        </w:rPr>
        <w:t xml:space="preserve"> conformément au règlement (CE) no 1107/2009 du Parlement européen et du Conseil, et modifiant le règlement d’exécution (UE) no 540/2011 de la Commission (JOUE 05/09/2024)</w:t>
      </w:r>
    </w:p>
    <w:p w14:paraId="0203D25A"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67A98568"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22"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2024/2199 de la Commission du 4 septembre 2024 modifiant le règlement d’exécution (UE) 2021/1044 en ce qui concerne les modifications administratives et les modifications mineures de l’autorisation de l’Union pour le produit biocide unique dénommé </w:t>
      </w:r>
      <w:proofErr w:type="spellStart"/>
      <w:r w:rsidRPr="005335D7">
        <w:rPr>
          <w:rFonts w:ascii="Tenorite" w:eastAsia="Calibri" w:hAnsi="Tenorite" w:cs="Times New Roman"/>
          <w:sz w:val="20"/>
          <w:szCs w:val="20"/>
        </w:rPr>
        <w:t>Pesguard</w:t>
      </w:r>
      <w:proofErr w:type="spellEnd"/>
      <w:r w:rsidRPr="005335D7">
        <w:rPr>
          <w:rFonts w:ascii="Tenorite" w:eastAsia="Calibri" w:hAnsi="Tenorite" w:cs="Times New Roman"/>
          <w:sz w:val="20"/>
          <w:szCs w:val="20"/>
        </w:rPr>
        <w:t>® Gel (JOUE 05/09/2024)</w:t>
      </w:r>
    </w:p>
    <w:p w14:paraId="6D6FE842"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792E1805"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23"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2024/2205 de la Commission du 4 septembre 2024 octroyant une autorisation de l’Union pour la famille de produits biocides dénommée SICO </w:t>
      </w:r>
      <w:proofErr w:type="spellStart"/>
      <w:r w:rsidRPr="005335D7">
        <w:rPr>
          <w:rFonts w:ascii="Tenorite" w:eastAsia="Calibri" w:hAnsi="Tenorite" w:cs="Times New Roman"/>
          <w:sz w:val="20"/>
          <w:szCs w:val="20"/>
        </w:rPr>
        <w:t>Biocidal</w:t>
      </w:r>
      <w:proofErr w:type="spellEnd"/>
      <w:r w:rsidRPr="005335D7">
        <w:rPr>
          <w:rFonts w:ascii="Tenorite" w:eastAsia="Calibri" w:hAnsi="Tenorite" w:cs="Times New Roman"/>
          <w:sz w:val="20"/>
          <w:szCs w:val="20"/>
        </w:rPr>
        <w:t xml:space="preserve"> Product Family conformément au règlement (UE) no 528/2012 du Parlement européen et du Conseil (JOUE 05/09/2024)</w:t>
      </w:r>
    </w:p>
    <w:p w14:paraId="785C7551"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0E0DAE39"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24"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2024/2221 de la Commission du 6 septembre 2024 modifiant le règlement d’exécution (UE) no 540/2011 en ce qui concerne la prolongation de la période d’approbation des substances actives </w:t>
      </w:r>
      <w:proofErr w:type="spellStart"/>
      <w:r w:rsidRPr="005335D7">
        <w:rPr>
          <w:rFonts w:ascii="Tenorite" w:eastAsia="Calibri" w:hAnsi="Tenorite" w:cs="Times New Roman"/>
          <w:sz w:val="20"/>
          <w:szCs w:val="20"/>
        </w:rPr>
        <w:t>acéquinocyl</w:t>
      </w:r>
      <w:proofErr w:type="spellEnd"/>
      <w:r w:rsidRPr="005335D7">
        <w:rPr>
          <w:rFonts w:ascii="Tenorite" w:eastAsia="Calibri" w:hAnsi="Tenorite" w:cs="Times New Roman"/>
          <w:sz w:val="20"/>
          <w:szCs w:val="20"/>
        </w:rPr>
        <w:t xml:space="preserve">, silicate d’aluminium, </w:t>
      </w:r>
      <w:proofErr w:type="spellStart"/>
      <w:r w:rsidRPr="005335D7">
        <w:rPr>
          <w:rFonts w:ascii="Tenorite" w:eastAsia="Calibri" w:hAnsi="Tenorite" w:cs="Times New Roman"/>
          <w:sz w:val="20"/>
          <w:szCs w:val="20"/>
        </w:rPr>
        <w:t>émamectine</w:t>
      </w:r>
      <w:proofErr w:type="spellEnd"/>
      <w:r w:rsidRPr="005335D7">
        <w:rPr>
          <w:rFonts w:ascii="Tenorite" w:eastAsia="Calibri" w:hAnsi="Tenorite" w:cs="Times New Roman"/>
          <w:sz w:val="20"/>
          <w:szCs w:val="20"/>
        </w:rPr>
        <w:t>, acides gras C7 à C20, pendiméthaline, huiles végétales/huile de colza et triclopyr (JOUE 09/09/2024)</w:t>
      </w:r>
    </w:p>
    <w:p w14:paraId="3DE175AF"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0D6C7E2A"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25"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2024/2390 de la Commission du 6 septembre 2024 renouvelant l’approbation de la substance active </w:t>
      </w:r>
      <w:proofErr w:type="spellStart"/>
      <w:r w:rsidRPr="005335D7">
        <w:rPr>
          <w:rFonts w:ascii="Tenorite" w:eastAsia="Calibri" w:hAnsi="Tenorite" w:cs="Times New Roman"/>
          <w:sz w:val="20"/>
          <w:szCs w:val="20"/>
        </w:rPr>
        <w:t>metrafenone</w:t>
      </w:r>
      <w:proofErr w:type="spellEnd"/>
      <w:r w:rsidRPr="005335D7">
        <w:rPr>
          <w:rFonts w:ascii="Tenorite" w:eastAsia="Calibri" w:hAnsi="Tenorite" w:cs="Times New Roman"/>
          <w:sz w:val="20"/>
          <w:szCs w:val="20"/>
        </w:rPr>
        <w:t xml:space="preserve"> conformément au règlement (CE) no 1107/2009 du Parlement européen et du Conseil, et modifiant le règlement d’exécution (UE) no 540/2011 de la Commission (JOUE 09/09/2024)</w:t>
      </w:r>
    </w:p>
    <w:p w14:paraId="1630BE98"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670C7C92"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26"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2024/2209 de la Commission du 5 septembre 2024 modifiant le règlement d’exécution (UE) 2022/1423 en ce qui concerne les modifications administratives et les modifications mineures apportées à l’autorisation de l’Union pour la famille de produits biocides dénommée </w:t>
      </w:r>
      <w:proofErr w:type="spellStart"/>
      <w:r w:rsidRPr="005335D7">
        <w:rPr>
          <w:rFonts w:ascii="Tenorite" w:eastAsia="Calibri" w:hAnsi="Tenorite" w:cs="Times New Roman"/>
          <w:sz w:val="20"/>
          <w:szCs w:val="20"/>
        </w:rPr>
        <w:t>Hydrogen</w:t>
      </w:r>
      <w:proofErr w:type="spellEnd"/>
      <w:r w:rsidRPr="005335D7">
        <w:rPr>
          <w:rFonts w:ascii="Tenorite" w:eastAsia="Calibri" w:hAnsi="Tenorite" w:cs="Times New Roman"/>
          <w:sz w:val="20"/>
          <w:szCs w:val="20"/>
        </w:rPr>
        <w:t xml:space="preserve"> </w:t>
      </w:r>
      <w:proofErr w:type="spellStart"/>
      <w:r w:rsidRPr="005335D7">
        <w:rPr>
          <w:rFonts w:ascii="Tenorite" w:eastAsia="Calibri" w:hAnsi="Tenorite" w:cs="Times New Roman"/>
          <w:sz w:val="20"/>
          <w:szCs w:val="20"/>
        </w:rPr>
        <w:t>Peroxide</w:t>
      </w:r>
      <w:proofErr w:type="spellEnd"/>
      <w:r w:rsidRPr="005335D7">
        <w:rPr>
          <w:rFonts w:ascii="Tenorite" w:eastAsia="Calibri" w:hAnsi="Tenorite" w:cs="Times New Roman"/>
          <w:sz w:val="20"/>
          <w:szCs w:val="20"/>
        </w:rPr>
        <w:t xml:space="preserve"> Family 1 (JOUE 11/09/2024)</w:t>
      </w:r>
    </w:p>
    <w:p w14:paraId="6513E572"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475642A5"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27"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2024/2400 de la Commission du 12 septembre 2024 accordant une autorisation de l’Union pour le produit biocide unique dénommé </w:t>
      </w:r>
      <w:proofErr w:type="spellStart"/>
      <w:r w:rsidRPr="005335D7">
        <w:rPr>
          <w:rFonts w:ascii="Tenorite" w:eastAsia="Calibri" w:hAnsi="Tenorite" w:cs="Times New Roman"/>
          <w:sz w:val="20"/>
          <w:szCs w:val="20"/>
        </w:rPr>
        <w:t>Nordkalk</w:t>
      </w:r>
      <w:proofErr w:type="spellEnd"/>
      <w:r w:rsidRPr="005335D7">
        <w:rPr>
          <w:rFonts w:ascii="Tenorite" w:eastAsia="Calibri" w:hAnsi="Tenorite" w:cs="Times New Roman"/>
          <w:sz w:val="20"/>
          <w:szCs w:val="20"/>
        </w:rPr>
        <w:t xml:space="preserve"> Filtra G conformément au règlement (UE) no 528/2012 du Parlement européen et du Conseil (JOUE 13/09/2024)</w:t>
      </w:r>
    </w:p>
    <w:p w14:paraId="534793EC"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7C02B8B8"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28"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2024/2404 de la Commission du 12 septembre 2024 accordant une autorisation de l’Union pour le produit biocide unique dénommé </w:t>
      </w:r>
      <w:proofErr w:type="spellStart"/>
      <w:r w:rsidRPr="005335D7">
        <w:rPr>
          <w:rFonts w:ascii="Tenorite" w:eastAsia="Calibri" w:hAnsi="Tenorite" w:cs="Times New Roman"/>
          <w:sz w:val="20"/>
          <w:szCs w:val="20"/>
        </w:rPr>
        <w:t>Nordkalk</w:t>
      </w:r>
      <w:proofErr w:type="spellEnd"/>
      <w:r w:rsidRPr="005335D7">
        <w:rPr>
          <w:rFonts w:ascii="Tenorite" w:eastAsia="Calibri" w:hAnsi="Tenorite" w:cs="Times New Roman"/>
          <w:sz w:val="20"/>
          <w:szCs w:val="20"/>
        </w:rPr>
        <w:t xml:space="preserve"> SL 90 conformément au règlement (UE) no 528/2012 du Parlement européen et du Conseil (JOUE 13/09/2024)</w:t>
      </w:r>
    </w:p>
    <w:p w14:paraId="0F7571F1"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27A0F136"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29"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2024/2405 de la Commission du 12 septembre 2024 annulant l’autorisation de l’Union pour le produit biocide unique </w:t>
      </w:r>
      <w:proofErr w:type="spellStart"/>
      <w:r w:rsidRPr="005335D7">
        <w:rPr>
          <w:rFonts w:ascii="Tenorite" w:eastAsia="Calibri" w:hAnsi="Tenorite" w:cs="Times New Roman"/>
          <w:sz w:val="20"/>
          <w:szCs w:val="20"/>
        </w:rPr>
        <w:t>SchwabEX</w:t>
      </w:r>
      <w:proofErr w:type="spellEnd"/>
      <w:r w:rsidRPr="005335D7">
        <w:rPr>
          <w:rFonts w:ascii="Tenorite" w:eastAsia="Calibri" w:hAnsi="Tenorite" w:cs="Times New Roman"/>
          <w:sz w:val="20"/>
          <w:szCs w:val="20"/>
        </w:rPr>
        <w:t>-Guard conformément au règlement (UE) no 528/2012 du Parlement européen et du Conseil et abrogeant le règlement d’exécution (UE) 2022/114 de la Commission (JOUE 13/09/2024)</w:t>
      </w:r>
    </w:p>
    <w:p w14:paraId="6452631B"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47B0EF61"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30" w:history="1">
        <w:r w:rsidRPr="005335D7">
          <w:rPr>
            <w:rFonts w:ascii="Tenorite" w:eastAsia="Calibri" w:hAnsi="Tenorite" w:cs="Times New Roman"/>
            <w:color w:val="0000FF"/>
            <w:sz w:val="20"/>
            <w:szCs w:val="20"/>
          </w:rPr>
          <w:t>Décision</w:t>
        </w:r>
      </w:hyperlink>
      <w:r w:rsidRPr="005335D7">
        <w:rPr>
          <w:rFonts w:ascii="Tenorite" w:eastAsia="Calibri" w:hAnsi="Tenorite" w:cs="Times New Roman"/>
          <w:sz w:val="20"/>
          <w:szCs w:val="20"/>
        </w:rPr>
        <w:t xml:space="preserve"> d’exécution (UE) 2024/2401 de la Commission du 12 septembre 2024 portant abrogation de la décision d’exécution (UE) 2023/2101 reportant la date d’expiration de l’approbation du fluorure de sulfuryle en vue de son utilisation dans les produits biocides relevant des types de produits 8 et 18 (JOUE 13/09/2024)</w:t>
      </w:r>
    </w:p>
    <w:p w14:paraId="69DC3DA5"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4135C1E0"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31" w:history="1">
        <w:r w:rsidRPr="005335D7">
          <w:rPr>
            <w:rFonts w:ascii="Tenorite" w:eastAsia="Calibri" w:hAnsi="Tenorite" w:cs="Times New Roman"/>
            <w:color w:val="0000FF"/>
            <w:sz w:val="20"/>
            <w:szCs w:val="20"/>
          </w:rPr>
          <w:t>Décision</w:t>
        </w:r>
      </w:hyperlink>
      <w:r w:rsidRPr="005335D7">
        <w:rPr>
          <w:rFonts w:ascii="Tenorite" w:eastAsia="Calibri" w:hAnsi="Tenorite" w:cs="Times New Roman"/>
          <w:sz w:val="20"/>
          <w:szCs w:val="20"/>
        </w:rPr>
        <w:t xml:space="preserve"> d’exécution (UE) 2024/2402 de la Commission du 12 septembre 2024 relative au non-renouvellement de l’approbation du fluorure de sulfuryle en vue de son utilisation dans les produits biocides relevant des types de produits 8 et 18, conformément au règlement (UE) no 528/2012 du Parlement européen et du Conseil (JOUE 13/09/2024)</w:t>
      </w:r>
    </w:p>
    <w:p w14:paraId="465B8D89"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41518E78"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32"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2024/2409 de la Commission du 13 septembre 2024 accordant une autorisation de l’Union pour le produit biocide unique dénommé </w:t>
      </w:r>
      <w:proofErr w:type="spellStart"/>
      <w:r w:rsidRPr="005335D7">
        <w:rPr>
          <w:rFonts w:ascii="Tenorite" w:eastAsia="Calibri" w:hAnsi="Tenorite" w:cs="Times New Roman"/>
          <w:sz w:val="20"/>
          <w:szCs w:val="20"/>
        </w:rPr>
        <w:t>Hydroflex</w:t>
      </w:r>
      <w:proofErr w:type="spellEnd"/>
      <w:r w:rsidRPr="005335D7">
        <w:rPr>
          <w:rFonts w:ascii="Tenorite" w:eastAsia="Calibri" w:hAnsi="Tenorite" w:cs="Times New Roman"/>
          <w:sz w:val="20"/>
          <w:szCs w:val="20"/>
        </w:rPr>
        <w:t xml:space="preserve"> IPA 70 Biocide conformément au règlement (UE) no 528/2012 du Parlement européen et du Conseil (JOUE 16/09/2024)</w:t>
      </w:r>
    </w:p>
    <w:p w14:paraId="70D3794B"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7BE11B11"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33"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2024/2419 de la Commission du 13 septembre 2024 accordant une autorisation de l’Union pour le produit biocide unique dénommé Soft Care Med H5 conformément au règlement (UE) no 528/2012 du Parlement européen et du Conseil (JOUE 16/09/2024)</w:t>
      </w:r>
    </w:p>
    <w:p w14:paraId="05D85FE1"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58E2E239"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34"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2024/2422 de la Commission du 13 septembre 2024 accordant une autorisation de l’Union pour le produit biocide unique dénommé Ca(OH)2 PT03 conformément au règlement (UE) no 528/2012 du Parlement européen et du Conseil (JOUE 16/09/2024)</w:t>
      </w:r>
    </w:p>
    <w:p w14:paraId="130D9A59"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0BE7028E"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35"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2024/2423 de la Commission du 13 septembre 2024 accordant une autorisation de l’Union pour le produit biocide unique dénommé Ca(OH)2 PT02 conformément au règlement (UE) no 528/2012 du Parlement européen et du Conseil (JOUE 16/09/2024)</w:t>
      </w:r>
    </w:p>
    <w:p w14:paraId="3859BA3C"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654A4F8F"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36"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2024/2424 de la Commission du 13 septembre 2024 accordant une autorisation de l’Union pour le produit biocide unique dénommé SANICALCO S conformément au règlement (UE) no 528/2012 du Parlement européen et du Conseil (JOUE 16/09/2024)</w:t>
      </w:r>
    </w:p>
    <w:p w14:paraId="6EDB10E4"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6523E2E7"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37" w:history="1">
        <w:r w:rsidRPr="005335D7">
          <w:rPr>
            <w:rFonts w:ascii="Tenorite" w:eastAsia="Calibri" w:hAnsi="Tenorite" w:cs="Times New Roman"/>
            <w:color w:val="0000FF"/>
            <w:sz w:val="20"/>
            <w:szCs w:val="20"/>
          </w:rPr>
          <w:t>Décision</w:t>
        </w:r>
      </w:hyperlink>
      <w:r w:rsidRPr="005335D7">
        <w:rPr>
          <w:rFonts w:ascii="Tenorite" w:eastAsia="Calibri" w:hAnsi="Tenorite" w:cs="Times New Roman"/>
          <w:sz w:val="20"/>
          <w:szCs w:val="20"/>
        </w:rPr>
        <w:t xml:space="preserve"> d’exécution (UE) 2024/2410 de la Commission du 13 septembre 2024 reportant la date d’expiration de l’approbation du </w:t>
      </w:r>
      <w:proofErr w:type="spellStart"/>
      <w:r w:rsidRPr="005335D7">
        <w:rPr>
          <w:rFonts w:ascii="Tenorite" w:eastAsia="Calibri" w:hAnsi="Tenorite" w:cs="Times New Roman"/>
          <w:sz w:val="20"/>
          <w:szCs w:val="20"/>
        </w:rPr>
        <w:t>dinotéfurane</w:t>
      </w:r>
      <w:proofErr w:type="spellEnd"/>
      <w:r w:rsidRPr="005335D7">
        <w:rPr>
          <w:rFonts w:ascii="Tenorite" w:eastAsia="Calibri" w:hAnsi="Tenorite" w:cs="Times New Roman"/>
          <w:sz w:val="20"/>
          <w:szCs w:val="20"/>
        </w:rPr>
        <w:t xml:space="preserve"> en vue de son utilisation dans les produits biocides relevant du type de produits 18, conformément au règlement (UE) no 528/2012 du Parlement européen et du Conseil (JOUE 16/09/2024)</w:t>
      </w:r>
    </w:p>
    <w:p w14:paraId="2CC49D4C"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0DD33D3C"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38" w:history="1">
        <w:r w:rsidRPr="005335D7">
          <w:rPr>
            <w:rFonts w:ascii="Tenorite" w:eastAsia="Calibri" w:hAnsi="Tenorite" w:cs="Times New Roman"/>
            <w:color w:val="0000FF"/>
            <w:sz w:val="20"/>
            <w:szCs w:val="20"/>
          </w:rPr>
          <w:t>Décision</w:t>
        </w:r>
      </w:hyperlink>
      <w:r w:rsidRPr="005335D7">
        <w:rPr>
          <w:rFonts w:ascii="Tenorite" w:eastAsia="Calibri" w:hAnsi="Tenorite" w:cs="Times New Roman"/>
          <w:sz w:val="20"/>
          <w:szCs w:val="20"/>
        </w:rPr>
        <w:t xml:space="preserve"> d’exécution (UE) 2024/2411 de la Commission du 13 septembre 2024 reportant la date d’expiration de l’approbation du chlorure de </w:t>
      </w:r>
      <w:proofErr w:type="spellStart"/>
      <w:r w:rsidRPr="005335D7">
        <w:rPr>
          <w:rFonts w:ascii="Tenorite" w:eastAsia="Calibri" w:hAnsi="Tenorite" w:cs="Times New Roman"/>
          <w:sz w:val="20"/>
          <w:szCs w:val="20"/>
        </w:rPr>
        <w:t>didécyldiméthylammonium</w:t>
      </w:r>
      <w:proofErr w:type="spellEnd"/>
      <w:r w:rsidRPr="005335D7">
        <w:rPr>
          <w:rFonts w:ascii="Tenorite" w:eastAsia="Calibri" w:hAnsi="Tenorite" w:cs="Times New Roman"/>
          <w:sz w:val="20"/>
          <w:szCs w:val="20"/>
        </w:rPr>
        <w:t xml:space="preserve"> en vue de son utilisation dans les produits biocides relevant du type de produits 8, conformément au règlement (UE) no 528/2012 du Parlement européen et du Conseil (JOUE 16/09/2024)</w:t>
      </w:r>
    </w:p>
    <w:p w14:paraId="7BE0EB5A"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7EB1E39D" w14:textId="77777777" w:rsidR="005335D7" w:rsidRPr="005335D7" w:rsidRDefault="005335D7" w:rsidP="005335D7">
      <w:pPr>
        <w:spacing w:after="0" w:line="240" w:lineRule="auto"/>
        <w:ind w:left="142"/>
        <w:jc w:val="both"/>
        <w:rPr>
          <w:rFonts w:ascii="Tenorite" w:eastAsia="Calibri" w:hAnsi="Tenorite" w:cs="Times New Roman"/>
          <w:color w:val="0000FF"/>
          <w:sz w:val="20"/>
          <w:szCs w:val="20"/>
        </w:rPr>
      </w:pPr>
      <w:hyperlink r:id="rId39" w:history="1">
        <w:r w:rsidRPr="005335D7">
          <w:rPr>
            <w:rFonts w:ascii="Tenorite" w:eastAsia="Calibri" w:hAnsi="Tenorite" w:cs="Times New Roman"/>
            <w:color w:val="0000FF"/>
            <w:sz w:val="20"/>
            <w:szCs w:val="20"/>
          </w:rPr>
          <w:t>Décision</w:t>
        </w:r>
      </w:hyperlink>
      <w:r w:rsidRPr="005335D7">
        <w:rPr>
          <w:rFonts w:ascii="Tenorite" w:eastAsia="Calibri" w:hAnsi="Tenorite" w:cs="Times New Roman"/>
          <w:sz w:val="20"/>
          <w:szCs w:val="20"/>
        </w:rPr>
        <w:t xml:space="preserve"> d’exécution (UE) 2024/2416 de la Commission du 13 septembre 2024 reportant la date d’expiration de l’approbation du pyriproxyfène en vue de son utilisation dans les produits biocides relevant du type de produits 18, conformément au règlement (UE) no 528/2012 du Parlement européen et du Conseil (JOUE 16/09/2024)</w:t>
      </w:r>
    </w:p>
    <w:p w14:paraId="0975EB0F"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0BC75D05"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40" w:history="1">
        <w:r w:rsidRPr="005335D7">
          <w:rPr>
            <w:rFonts w:ascii="Tenorite" w:eastAsia="Calibri" w:hAnsi="Tenorite" w:cs="Times New Roman"/>
            <w:color w:val="0000FF"/>
            <w:sz w:val="20"/>
            <w:szCs w:val="20"/>
          </w:rPr>
          <w:t>Décision</w:t>
        </w:r>
      </w:hyperlink>
      <w:r w:rsidRPr="005335D7">
        <w:rPr>
          <w:rFonts w:ascii="Tenorite" w:eastAsia="Calibri" w:hAnsi="Tenorite" w:cs="Times New Roman"/>
          <w:sz w:val="20"/>
          <w:szCs w:val="20"/>
        </w:rPr>
        <w:t xml:space="preserve"> d’exécution (UE) 2024/2417 de la Commission du 13 septembre 2024 reportant la date d’expiration de l’approbation du chlorure d’alkyl(C12-C16)</w:t>
      </w:r>
      <w:proofErr w:type="spellStart"/>
      <w:r w:rsidRPr="005335D7">
        <w:rPr>
          <w:rFonts w:ascii="Tenorite" w:eastAsia="Calibri" w:hAnsi="Tenorite" w:cs="Times New Roman"/>
          <w:sz w:val="20"/>
          <w:szCs w:val="20"/>
        </w:rPr>
        <w:t>diméthylbenzylammonium</w:t>
      </w:r>
      <w:proofErr w:type="spellEnd"/>
      <w:r w:rsidRPr="005335D7">
        <w:rPr>
          <w:rFonts w:ascii="Tenorite" w:eastAsia="Calibri" w:hAnsi="Tenorite" w:cs="Times New Roman"/>
          <w:sz w:val="20"/>
          <w:szCs w:val="20"/>
        </w:rPr>
        <w:t xml:space="preserve"> en vue de son utilisation dans les produits biocides relevant du type de produits 8, conformément au règlement (UE) no 528/2012 du Parlement européen et du Conseil (JOUE 16/09/2024)</w:t>
      </w:r>
    </w:p>
    <w:p w14:paraId="7A482FA0"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3E5810C6"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41" w:history="1">
        <w:r w:rsidRPr="005335D7">
          <w:rPr>
            <w:rFonts w:ascii="Tenorite" w:eastAsia="Calibri" w:hAnsi="Tenorite" w:cs="Times New Roman"/>
            <w:color w:val="0000FF"/>
            <w:sz w:val="20"/>
            <w:szCs w:val="20"/>
          </w:rPr>
          <w:t>Décision</w:t>
        </w:r>
      </w:hyperlink>
      <w:r w:rsidRPr="005335D7">
        <w:rPr>
          <w:rFonts w:ascii="Tenorite" w:eastAsia="Calibri" w:hAnsi="Tenorite" w:cs="Times New Roman"/>
          <w:sz w:val="20"/>
          <w:szCs w:val="20"/>
        </w:rPr>
        <w:t xml:space="preserve"> d’exécution (UE) 2024/2420 de la Commission du 13 septembre 2024 relative à une dérogation à la reconnaissance mutuelle d’une autorisation du produit biocide URAGAN D2 contenant du cyanure d’hydrogène, proposée par la Hongrie en vertu de l’article 37 du règlement (UE) no 528/2012 du Parlement européen et du Conseil (JOUE 16/09/2024)</w:t>
      </w:r>
    </w:p>
    <w:p w14:paraId="53885B50"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3123EEAB"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42" w:history="1">
        <w:r w:rsidRPr="005335D7">
          <w:rPr>
            <w:rFonts w:ascii="Tenorite" w:eastAsia="Calibri" w:hAnsi="Tenorite" w:cs="Times New Roman"/>
            <w:color w:val="0000FF"/>
            <w:sz w:val="20"/>
            <w:szCs w:val="20"/>
          </w:rPr>
          <w:t>Décision</w:t>
        </w:r>
      </w:hyperlink>
      <w:r w:rsidRPr="005335D7">
        <w:rPr>
          <w:rFonts w:ascii="Tenorite" w:eastAsia="Calibri" w:hAnsi="Tenorite" w:cs="Times New Roman"/>
          <w:sz w:val="20"/>
          <w:szCs w:val="20"/>
        </w:rPr>
        <w:t xml:space="preserve"> d’exécution (UE) 2024/2421 de la Commission du 13 septembre 2024 reportant la date d’expiration de l’approbation du formaldéhyde en vue de son utilisation dans les produits biocides relevant des types de produits 2 et 3, conformément au règlement (UE) no 528/2012 du Parlement européen et du Conseil (JOUE 16/09/2024)</w:t>
      </w:r>
    </w:p>
    <w:p w14:paraId="4A87F175"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2AC2D8D6"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43"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2024/2426 de la Commission du 16 septembre 2024 accordant une autorisation de l’Union pour le produit biocide unique dénommé </w:t>
      </w:r>
      <w:proofErr w:type="spellStart"/>
      <w:r w:rsidRPr="005335D7">
        <w:rPr>
          <w:rFonts w:ascii="Tenorite" w:eastAsia="Calibri" w:hAnsi="Tenorite" w:cs="Times New Roman"/>
          <w:sz w:val="20"/>
          <w:szCs w:val="20"/>
        </w:rPr>
        <w:t>Nordkalk</w:t>
      </w:r>
      <w:proofErr w:type="spellEnd"/>
      <w:r w:rsidRPr="005335D7">
        <w:rPr>
          <w:rFonts w:ascii="Tenorite" w:eastAsia="Calibri" w:hAnsi="Tenorite" w:cs="Times New Roman"/>
          <w:sz w:val="20"/>
          <w:szCs w:val="20"/>
        </w:rPr>
        <w:t xml:space="preserve"> SL conformément au règlement (UE) no 528/2012 du Parlement européen et du Conseil (JOUE 17/09/2024)</w:t>
      </w:r>
    </w:p>
    <w:p w14:paraId="10055F77"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392C03EA"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44"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2024/2430 de la Commission du 16 septembre 2024 accordant une autorisation de l’Union pour le produit biocide unique dénommé </w:t>
      </w:r>
      <w:proofErr w:type="spellStart"/>
      <w:r w:rsidRPr="005335D7">
        <w:rPr>
          <w:rFonts w:ascii="Tenorite" w:eastAsia="Calibri" w:hAnsi="Tenorite" w:cs="Times New Roman"/>
          <w:sz w:val="20"/>
          <w:szCs w:val="20"/>
        </w:rPr>
        <w:t>EuLA</w:t>
      </w:r>
      <w:proofErr w:type="spellEnd"/>
      <w:r w:rsidRPr="005335D7">
        <w:rPr>
          <w:rFonts w:ascii="Tenorite" w:eastAsia="Calibri" w:hAnsi="Tenorite" w:cs="Times New Roman"/>
          <w:sz w:val="20"/>
          <w:szCs w:val="20"/>
        </w:rPr>
        <w:t xml:space="preserve"> Ca(OH)2 </w:t>
      </w:r>
      <w:proofErr w:type="spellStart"/>
      <w:r w:rsidRPr="005335D7">
        <w:rPr>
          <w:rFonts w:ascii="Tenorite" w:eastAsia="Calibri" w:hAnsi="Tenorite" w:cs="Times New Roman"/>
          <w:sz w:val="20"/>
          <w:szCs w:val="20"/>
        </w:rPr>
        <w:t>template</w:t>
      </w:r>
      <w:proofErr w:type="spellEnd"/>
      <w:r w:rsidRPr="005335D7">
        <w:rPr>
          <w:rFonts w:ascii="Tenorite" w:eastAsia="Calibri" w:hAnsi="Tenorite" w:cs="Times New Roman"/>
          <w:sz w:val="20"/>
          <w:szCs w:val="20"/>
        </w:rPr>
        <w:t xml:space="preserve"> conformément au règlement (UE) no 528/2012 du Parlement européen et du Conseil (JOUE 17/09/2024)</w:t>
      </w:r>
    </w:p>
    <w:p w14:paraId="689EFDE0"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367E5A5C"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45"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d’exécution (UE) 2024/2432 de la Commission du 16 septembre 2024 octroyant une autorisation de l’Union pour la famille de produits biocides dénommée </w:t>
      </w:r>
      <w:proofErr w:type="spellStart"/>
      <w:r w:rsidRPr="005335D7">
        <w:rPr>
          <w:rFonts w:ascii="Tenorite" w:eastAsia="Calibri" w:hAnsi="Tenorite" w:cs="Times New Roman"/>
          <w:sz w:val="20"/>
          <w:szCs w:val="20"/>
        </w:rPr>
        <w:t>Diversey</w:t>
      </w:r>
      <w:proofErr w:type="spellEnd"/>
      <w:r w:rsidRPr="005335D7">
        <w:rPr>
          <w:rFonts w:ascii="Tenorite" w:eastAsia="Calibri" w:hAnsi="Tenorite" w:cs="Times New Roman"/>
          <w:sz w:val="20"/>
          <w:szCs w:val="20"/>
        </w:rPr>
        <w:t xml:space="preserve"> </w:t>
      </w:r>
      <w:proofErr w:type="spellStart"/>
      <w:r w:rsidRPr="005335D7">
        <w:rPr>
          <w:rFonts w:ascii="Tenorite" w:eastAsia="Calibri" w:hAnsi="Tenorite" w:cs="Times New Roman"/>
          <w:sz w:val="20"/>
          <w:szCs w:val="20"/>
        </w:rPr>
        <w:t>Hydrogen</w:t>
      </w:r>
      <w:proofErr w:type="spellEnd"/>
      <w:r w:rsidRPr="005335D7">
        <w:rPr>
          <w:rFonts w:ascii="Tenorite" w:eastAsia="Calibri" w:hAnsi="Tenorite" w:cs="Times New Roman"/>
          <w:sz w:val="20"/>
          <w:szCs w:val="20"/>
        </w:rPr>
        <w:t xml:space="preserve"> </w:t>
      </w:r>
      <w:proofErr w:type="spellStart"/>
      <w:r w:rsidRPr="005335D7">
        <w:rPr>
          <w:rFonts w:ascii="Tenorite" w:eastAsia="Calibri" w:hAnsi="Tenorite" w:cs="Times New Roman"/>
          <w:sz w:val="20"/>
          <w:szCs w:val="20"/>
        </w:rPr>
        <w:t>Peroxide</w:t>
      </w:r>
      <w:proofErr w:type="spellEnd"/>
      <w:r w:rsidRPr="005335D7">
        <w:rPr>
          <w:rFonts w:ascii="Tenorite" w:eastAsia="Calibri" w:hAnsi="Tenorite" w:cs="Times New Roman"/>
          <w:sz w:val="20"/>
          <w:szCs w:val="20"/>
        </w:rPr>
        <w:t xml:space="preserve"> Product Family conformément au règlement (UE) no 528/2012 du Parlement européen et du Conseil (JOUE 17/09/2024)</w:t>
      </w:r>
      <w:r w:rsidRPr="005335D7">
        <w:rPr>
          <w:rFonts w:ascii="Tenorite" w:eastAsia="Calibri" w:hAnsi="Tenorite" w:cs="Times New Roman"/>
          <w:sz w:val="20"/>
          <w:szCs w:val="20"/>
        </w:rPr>
        <w:br/>
      </w:r>
    </w:p>
    <w:p w14:paraId="285D490D"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46" w:history="1">
        <w:r w:rsidRPr="005335D7">
          <w:rPr>
            <w:rFonts w:ascii="Tenorite" w:eastAsia="Calibri" w:hAnsi="Tenorite" w:cs="Times New Roman"/>
            <w:color w:val="0000FF"/>
            <w:sz w:val="20"/>
            <w:szCs w:val="20"/>
          </w:rPr>
          <w:t>Décision</w:t>
        </w:r>
      </w:hyperlink>
      <w:r w:rsidRPr="005335D7">
        <w:rPr>
          <w:rFonts w:ascii="Tenorite" w:eastAsia="Calibri" w:hAnsi="Tenorite" w:cs="Times New Roman"/>
          <w:sz w:val="20"/>
          <w:szCs w:val="20"/>
        </w:rPr>
        <w:t xml:space="preserve"> d’exécution (UE) 2024/2460 de la Commission du 16 septembre 2024 reportant la date d’expiration de l’approbation de la </w:t>
      </w:r>
      <w:proofErr w:type="spellStart"/>
      <w:r w:rsidRPr="005335D7">
        <w:rPr>
          <w:rFonts w:ascii="Tenorite" w:eastAsia="Calibri" w:hAnsi="Tenorite" w:cs="Times New Roman"/>
          <w:sz w:val="20"/>
          <w:szCs w:val="20"/>
        </w:rPr>
        <w:t>métofluthrine</w:t>
      </w:r>
      <w:proofErr w:type="spellEnd"/>
      <w:r w:rsidRPr="005335D7">
        <w:rPr>
          <w:rFonts w:ascii="Tenorite" w:eastAsia="Calibri" w:hAnsi="Tenorite" w:cs="Times New Roman"/>
          <w:sz w:val="20"/>
          <w:szCs w:val="20"/>
        </w:rPr>
        <w:t xml:space="preserve"> en vue de son utilisation dans les produits biocides relevant du type de produits 18, conformément au règlement (UE) no 528/2012 du Parlement européen et du Conseil (JOUE 17/09/2024)</w:t>
      </w:r>
    </w:p>
    <w:p w14:paraId="1DC83218"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2436894E"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47" w:history="1">
        <w:r w:rsidRPr="005335D7">
          <w:rPr>
            <w:rFonts w:ascii="Tenorite" w:eastAsia="Calibri" w:hAnsi="Tenorite" w:cs="Times New Roman"/>
            <w:color w:val="0000FF"/>
            <w:sz w:val="20"/>
            <w:szCs w:val="20"/>
          </w:rPr>
          <w:t>Règlement</w:t>
        </w:r>
      </w:hyperlink>
      <w:r w:rsidRPr="005335D7">
        <w:rPr>
          <w:rFonts w:ascii="Tenorite" w:eastAsia="Calibri" w:hAnsi="Tenorite" w:cs="Times New Roman"/>
          <w:sz w:val="20"/>
          <w:szCs w:val="20"/>
        </w:rPr>
        <w:t xml:space="preserve"> (UE) 2024/2462 de la Commission du 19 septembre 2024 modifiant l’annexe XVII du règlement (CE) no 1907/2006 du Parlement européen et du Conseil en ce qui concerne l’acide </w:t>
      </w:r>
      <w:proofErr w:type="spellStart"/>
      <w:r w:rsidRPr="005335D7">
        <w:rPr>
          <w:rFonts w:ascii="Tenorite" w:eastAsia="Calibri" w:hAnsi="Tenorite" w:cs="Times New Roman"/>
          <w:sz w:val="20"/>
          <w:szCs w:val="20"/>
        </w:rPr>
        <w:t>undécafluorohexanoïque</w:t>
      </w:r>
      <w:proofErr w:type="spellEnd"/>
      <w:r w:rsidRPr="005335D7">
        <w:rPr>
          <w:rFonts w:ascii="Tenorite" w:eastAsia="Calibri" w:hAnsi="Tenorite" w:cs="Times New Roman"/>
          <w:sz w:val="20"/>
          <w:szCs w:val="20"/>
        </w:rPr>
        <w:t xml:space="preserve"> (</w:t>
      </w:r>
      <w:proofErr w:type="spellStart"/>
      <w:r w:rsidRPr="005335D7">
        <w:rPr>
          <w:rFonts w:ascii="Tenorite" w:eastAsia="Calibri" w:hAnsi="Tenorite" w:cs="Times New Roman"/>
          <w:sz w:val="20"/>
          <w:szCs w:val="20"/>
        </w:rPr>
        <w:t>PFHxA</w:t>
      </w:r>
      <w:proofErr w:type="spellEnd"/>
      <w:r w:rsidRPr="005335D7">
        <w:rPr>
          <w:rFonts w:ascii="Tenorite" w:eastAsia="Calibri" w:hAnsi="Tenorite" w:cs="Times New Roman"/>
          <w:sz w:val="20"/>
          <w:szCs w:val="20"/>
        </w:rPr>
        <w:t xml:space="preserve">), ses sels et les substances apparentées au </w:t>
      </w:r>
      <w:proofErr w:type="spellStart"/>
      <w:r w:rsidRPr="005335D7">
        <w:rPr>
          <w:rFonts w:ascii="Tenorite" w:eastAsia="Calibri" w:hAnsi="Tenorite" w:cs="Times New Roman"/>
          <w:sz w:val="20"/>
          <w:szCs w:val="20"/>
        </w:rPr>
        <w:t>PFHxA</w:t>
      </w:r>
      <w:proofErr w:type="spellEnd"/>
      <w:r w:rsidRPr="005335D7">
        <w:rPr>
          <w:rFonts w:ascii="Tenorite" w:eastAsia="Calibri" w:hAnsi="Tenorite" w:cs="Times New Roman"/>
          <w:sz w:val="20"/>
          <w:szCs w:val="20"/>
        </w:rPr>
        <w:t xml:space="preserve"> (JOUE 20/09/2024)</w:t>
      </w:r>
    </w:p>
    <w:p w14:paraId="5B3E2CDB" w14:textId="77777777" w:rsidR="005335D7" w:rsidRPr="005335D7" w:rsidRDefault="005335D7" w:rsidP="005335D7">
      <w:pPr>
        <w:spacing w:after="0" w:line="240" w:lineRule="auto"/>
        <w:ind w:left="142"/>
        <w:jc w:val="both"/>
        <w:rPr>
          <w:rFonts w:ascii="Tenorite" w:eastAsia="Calibri" w:hAnsi="Tenorite" w:cs="Times New Roman"/>
          <w:sz w:val="20"/>
          <w:szCs w:val="20"/>
        </w:rPr>
      </w:pPr>
    </w:p>
    <w:p w14:paraId="431DB834" w14:textId="7B4BBE3F" w:rsidR="002B7CB6" w:rsidRDefault="005335D7" w:rsidP="005335D7">
      <w:pPr>
        <w:spacing w:after="0" w:line="240" w:lineRule="auto"/>
        <w:ind w:left="284" w:hanging="142"/>
        <w:rPr>
          <w:rFonts w:ascii="Tenorite" w:eastAsia="Calibri" w:hAnsi="Tenorite" w:cs="Calibri"/>
          <w:sz w:val="20"/>
          <w:szCs w:val="20"/>
        </w:rPr>
      </w:pPr>
      <w:hyperlink r:id="rId48" w:history="1">
        <w:r w:rsidRPr="005335D7">
          <w:rPr>
            <w:rFonts w:ascii="Tenorite" w:eastAsia="Calibri" w:hAnsi="Tenorite" w:cs="Calibri"/>
            <w:color w:val="0000FF"/>
            <w:sz w:val="20"/>
            <w:szCs w:val="20"/>
          </w:rPr>
          <w:t>Règlement</w:t>
        </w:r>
      </w:hyperlink>
      <w:r w:rsidRPr="005335D7">
        <w:rPr>
          <w:rFonts w:ascii="Tenorite" w:eastAsia="Calibri" w:hAnsi="Tenorite" w:cs="Calibri"/>
          <w:sz w:val="20"/>
          <w:szCs w:val="20"/>
        </w:rPr>
        <w:t xml:space="preserve"> délégué (UE) 2024/2564 de la Commission du 19 juin 2024 modifiant le règlement (CE) no 1272/2008 du Parlement européen et du Conseil en ce qui concerne la classification et l’étiquetage harmonisés de certaines substances (JOUE 30/09/2024)</w:t>
      </w:r>
    </w:p>
    <w:p w14:paraId="556957EF" w14:textId="77777777" w:rsidR="00B72E15" w:rsidRPr="005F3EA3" w:rsidRDefault="00B72E15" w:rsidP="005335D7">
      <w:pPr>
        <w:spacing w:after="0" w:line="240" w:lineRule="auto"/>
        <w:ind w:left="284" w:hanging="142"/>
        <w:rPr>
          <w:rFonts w:ascii="Tenorite" w:eastAsia="MS Gothic" w:hAnsi="Tenorite" w:cs="Segoe UI Symbol"/>
          <w:b/>
          <w:sz w:val="28"/>
        </w:rPr>
      </w:pPr>
    </w:p>
    <w:p w14:paraId="6630880B"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CONTAMINANTS</w:t>
      </w:r>
    </w:p>
    <w:p w14:paraId="7B026335" w14:textId="77777777" w:rsidR="00764235" w:rsidRPr="00764235" w:rsidRDefault="00764235" w:rsidP="005335D7">
      <w:pPr>
        <w:shd w:val="clear" w:color="auto" w:fill="FFFFFF"/>
        <w:spacing w:after="0" w:line="240" w:lineRule="auto"/>
        <w:ind w:left="142"/>
        <w:jc w:val="both"/>
        <w:rPr>
          <w:rFonts w:ascii="Tenorite" w:eastAsia="Calibri" w:hAnsi="Tenorite" w:cs="Calibri"/>
          <w:sz w:val="20"/>
          <w:szCs w:val="20"/>
        </w:rPr>
      </w:pPr>
      <w:hyperlink r:id="rId49" w:history="1">
        <w:r w:rsidRPr="00764235">
          <w:rPr>
            <w:rFonts w:ascii="Tenorite" w:eastAsia="Calibri" w:hAnsi="Tenorite" w:cs="Calibri"/>
            <w:color w:val="0000FF"/>
            <w:sz w:val="20"/>
            <w:szCs w:val="20"/>
          </w:rPr>
          <w:t>Décisions</w:t>
        </w:r>
      </w:hyperlink>
      <w:r w:rsidRPr="00764235">
        <w:rPr>
          <w:rFonts w:ascii="Tenorite" w:eastAsia="Calibri" w:hAnsi="Tenorite" w:cs="Calibri"/>
          <w:sz w:val="20"/>
          <w:szCs w:val="20"/>
        </w:rPr>
        <w:t xml:space="preserve"> n°489807 et n°490014 du Conseil d'État [</w:t>
      </w:r>
      <w:r w:rsidRPr="00764235">
        <w:rPr>
          <w:rFonts w:ascii="Tenorite" w:eastAsia="Calibri" w:hAnsi="Tenorite" w:cs="Calibri"/>
          <w:b/>
          <w:bCs/>
          <w:sz w:val="20"/>
          <w:szCs w:val="20"/>
        </w:rPr>
        <w:t>Cholécalciférol-Perturbateur endocrinien</w:t>
      </w:r>
      <w:r w:rsidRPr="00764235">
        <w:rPr>
          <w:rFonts w:ascii="Tenorite" w:eastAsia="Calibri" w:hAnsi="Tenorite" w:cs="Calibri"/>
          <w:sz w:val="20"/>
          <w:szCs w:val="20"/>
        </w:rPr>
        <w:t>], 1ère - 4ème chambres réunies, (Conseil d’Etat, lecture du 15/07/2024)</w:t>
      </w:r>
    </w:p>
    <w:p w14:paraId="1012E99E" w14:textId="77777777" w:rsidR="005F3EA3" w:rsidRPr="005F3EA3" w:rsidRDefault="005F3EA3" w:rsidP="005335D7">
      <w:pPr>
        <w:spacing w:after="0" w:line="240" w:lineRule="auto"/>
        <w:ind w:left="284" w:hanging="142"/>
        <w:rPr>
          <w:rFonts w:ascii="Tenorite" w:eastAsia="MS Gothic" w:hAnsi="Tenorite" w:cs="Segoe UI Symbol"/>
          <w:b/>
          <w:sz w:val="28"/>
        </w:rPr>
      </w:pPr>
    </w:p>
    <w:p w14:paraId="2115C4F0"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p>
    <w:p w14:paraId="5B30DC1D" w14:textId="77777777" w:rsidR="002F17D1" w:rsidRDefault="002B7CB6" w:rsidP="005335D7">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Général</w:t>
      </w:r>
    </w:p>
    <w:p w14:paraId="2CCDBBC0" w14:textId="77777777" w:rsidR="00764235" w:rsidRPr="00764235" w:rsidRDefault="00764235" w:rsidP="005335D7">
      <w:pPr>
        <w:shd w:val="clear" w:color="auto" w:fill="FFFFFF"/>
        <w:spacing w:after="0" w:line="240" w:lineRule="auto"/>
        <w:ind w:left="142"/>
        <w:jc w:val="both"/>
        <w:rPr>
          <w:rFonts w:ascii="Tenorite" w:eastAsia="Calibri" w:hAnsi="Tenorite" w:cs="Calibri"/>
          <w:sz w:val="20"/>
          <w:szCs w:val="20"/>
        </w:rPr>
      </w:pPr>
      <w:hyperlink r:id="rId50" w:history="1">
        <w:r w:rsidRPr="00764235">
          <w:rPr>
            <w:rFonts w:ascii="Tenorite" w:eastAsia="Calibri" w:hAnsi="Tenorite" w:cs="Calibri"/>
            <w:color w:val="0000FF"/>
            <w:sz w:val="20"/>
            <w:szCs w:val="20"/>
          </w:rPr>
          <w:t>Règlement</w:t>
        </w:r>
      </w:hyperlink>
      <w:r w:rsidRPr="00764235">
        <w:rPr>
          <w:rFonts w:ascii="Tenorite" w:eastAsia="Calibri" w:hAnsi="Tenorite" w:cs="Calibri"/>
          <w:sz w:val="20"/>
          <w:szCs w:val="20"/>
        </w:rPr>
        <w:t xml:space="preserve"> délégué (UE) 2024/2512 de la Commission du 17 avril 2024 </w:t>
      </w:r>
      <w:r w:rsidRPr="00764235">
        <w:rPr>
          <w:rFonts w:ascii="Tenorite" w:eastAsia="Calibri" w:hAnsi="Tenorite" w:cs="Calibri"/>
          <w:b/>
          <w:bCs/>
          <w:sz w:val="20"/>
          <w:szCs w:val="20"/>
        </w:rPr>
        <w:t>modifiant l’annexe II du règlement (UE) no 1169/2011</w:t>
      </w:r>
      <w:r w:rsidRPr="00764235">
        <w:rPr>
          <w:rFonts w:ascii="Tenorite" w:eastAsia="Calibri" w:hAnsi="Tenorite" w:cs="Calibri"/>
          <w:sz w:val="20"/>
          <w:szCs w:val="20"/>
        </w:rPr>
        <w:t xml:space="preserve"> du Parlement européen et du Conseil concernant l’information des consommateurs sur les denrées alimentaires, en ce qui concerne </w:t>
      </w:r>
      <w:r w:rsidRPr="00764235">
        <w:rPr>
          <w:rFonts w:ascii="Tenorite" w:eastAsia="Calibri" w:hAnsi="Tenorite" w:cs="Calibri"/>
          <w:b/>
          <w:bCs/>
          <w:sz w:val="20"/>
          <w:szCs w:val="20"/>
        </w:rPr>
        <w:t>l’acide béhénique</w:t>
      </w:r>
      <w:r w:rsidRPr="00764235">
        <w:rPr>
          <w:rFonts w:ascii="Tenorite" w:eastAsia="Calibri" w:hAnsi="Tenorite" w:cs="Calibri"/>
          <w:sz w:val="20"/>
          <w:szCs w:val="20"/>
        </w:rPr>
        <w:t xml:space="preserve"> tiré des graines de moutarde et destiné à la fabrication de certains émulsifiants (JOUE 25/09/2024)</w:t>
      </w:r>
    </w:p>
    <w:p w14:paraId="6C91B4B0" w14:textId="77777777" w:rsidR="00764235" w:rsidRPr="005F3EA3" w:rsidRDefault="00764235" w:rsidP="005335D7">
      <w:pPr>
        <w:spacing w:after="0" w:line="240" w:lineRule="auto"/>
        <w:ind w:left="142"/>
        <w:rPr>
          <w:rFonts w:ascii="Tenorite" w:hAnsi="Tenorite"/>
          <w:color w:val="C45911" w:themeColor="accent2" w:themeShade="BF"/>
          <w:sz w:val="20"/>
        </w:rPr>
      </w:pPr>
    </w:p>
    <w:p w14:paraId="7C7935D3" w14:textId="77777777" w:rsidR="002B7CB6" w:rsidRPr="005F3EA3" w:rsidRDefault="002B7CB6" w:rsidP="005335D7">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Nutritionnel</w:t>
      </w:r>
    </w:p>
    <w:p w14:paraId="481053CA" w14:textId="77777777" w:rsidR="00816AAF" w:rsidRPr="00816AAF" w:rsidRDefault="00816AAF" w:rsidP="005335D7">
      <w:pPr>
        <w:widowControl w:val="0"/>
        <w:shd w:val="clear" w:color="auto" w:fill="FFFFFF"/>
        <w:autoSpaceDE w:val="0"/>
        <w:autoSpaceDN w:val="0"/>
        <w:spacing w:after="0" w:line="240" w:lineRule="auto"/>
        <w:ind w:left="142"/>
        <w:jc w:val="both"/>
        <w:outlineLvl w:val="2"/>
        <w:rPr>
          <w:rFonts w:ascii="Tenorite" w:eastAsia="Century Gothic" w:hAnsi="Tenorite" w:cs="Arial"/>
          <w:iCs/>
          <w:color w:val="3C3C3C"/>
          <w:sz w:val="20"/>
          <w:szCs w:val="20"/>
        </w:rPr>
      </w:pPr>
      <w:hyperlink r:id="rId51" w:history="1">
        <w:r w:rsidRPr="00816AAF">
          <w:rPr>
            <w:rFonts w:ascii="Tenorite" w:eastAsia="Century Gothic" w:hAnsi="Tenorite" w:cs="Arial"/>
            <w:iCs/>
            <w:color w:val="0000FF"/>
            <w:sz w:val="20"/>
            <w:szCs w:val="20"/>
          </w:rPr>
          <w:t>Avis</w:t>
        </w:r>
      </w:hyperlink>
      <w:r w:rsidRPr="00816AAF">
        <w:rPr>
          <w:rFonts w:ascii="Tenorite" w:eastAsia="Century Gothic" w:hAnsi="Tenorite" w:cs="Arial"/>
          <w:iCs/>
          <w:color w:val="3C3C3C"/>
          <w:sz w:val="20"/>
          <w:szCs w:val="20"/>
        </w:rPr>
        <w:t xml:space="preserve"> relatif à « la prise en compte, parmi les facteurs nutritionnels et environnementaux via l’alimentation durant les 1 000 premiers jours (c’est-à-dire entre la période péri-conventionnelle jusqu’à l’âge de 2 ans), de la phase d’allaitement maternel en s’appuyant sur les derniers travaux de l’étude CONTA-LAIT » volet « risques chimiques – avis signé le 18/06/2024</w:t>
      </w:r>
    </w:p>
    <w:p w14:paraId="356B3716" w14:textId="77777777" w:rsidR="00816AAF" w:rsidRPr="00816AAF" w:rsidRDefault="00816AAF" w:rsidP="005335D7">
      <w:pPr>
        <w:widowControl w:val="0"/>
        <w:autoSpaceDE w:val="0"/>
        <w:autoSpaceDN w:val="0"/>
        <w:spacing w:after="0" w:line="240" w:lineRule="auto"/>
        <w:ind w:left="142"/>
        <w:jc w:val="both"/>
        <w:outlineLvl w:val="2"/>
        <w:rPr>
          <w:rFonts w:ascii="Tenorite" w:eastAsia="Century Gothic" w:hAnsi="Tenorite" w:cs="Arial"/>
          <w:iCs/>
          <w:color w:val="3C3C3C"/>
          <w:sz w:val="20"/>
          <w:szCs w:val="20"/>
        </w:rPr>
      </w:pPr>
    </w:p>
    <w:p w14:paraId="6D2D2480" w14:textId="77777777" w:rsidR="00816AAF" w:rsidRPr="00816AAF" w:rsidRDefault="00816AAF" w:rsidP="005335D7">
      <w:pPr>
        <w:widowControl w:val="0"/>
        <w:autoSpaceDE w:val="0"/>
        <w:autoSpaceDN w:val="0"/>
        <w:spacing w:after="0" w:line="240" w:lineRule="auto"/>
        <w:ind w:left="142"/>
        <w:jc w:val="both"/>
        <w:outlineLvl w:val="2"/>
        <w:rPr>
          <w:rFonts w:ascii="Tenorite" w:eastAsia="Century Gothic" w:hAnsi="Tenorite" w:cs="Arial"/>
          <w:iCs/>
          <w:color w:val="3C3C3C"/>
          <w:sz w:val="20"/>
          <w:szCs w:val="20"/>
        </w:rPr>
      </w:pPr>
      <w:hyperlink r:id="rId52" w:history="1">
        <w:r w:rsidRPr="00816AAF">
          <w:rPr>
            <w:rFonts w:ascii="Tenorite" w:eastAsia="Century Gothic" w:hAnsi="Tenorite" w:cs="Arial"/>
            <w:iCs/>
            <w:color w:val="0000FF"/>
            <w:sz w:val="20"/>
            <w:szCs w:val="20"/>
          </w:rPr>
          <w:t>Annexes</w:t>
        </w:r>
      </w:hyperlink>
      <w:r w:rsidRPr="00816AAF">
        <w:rPr>
          <w:rFonts w:ascii="Tenorite" w:eastAsia="Century Gothic" w:hAnsi="Tenorite" w:cs="Arial"/>
          <w:iCs/>
          <w:color w:val="3C3C3C"/>
          <w:sz w:val="20"/>
          <w:szCs w:val="20"/>
        </w:rPr>
        <w:t xml:space="preserve"> à l'Avis relatif à « la Prise en compte, parmi les facteurs nutritionnels et environnementaux via l’alimentation durant les 1000 premiers jours (c’est-à-dire entre la période péri-conventionnelle jusqu’à l’âge de 2 ans) de la phase d’allaitement maternel en s’appuyant sur les derniers travaux de l’étude CONTA-LAIT » Volet « risques chimiques » - avis signé le 18/06/2024</w:t>
      </w:r>
    </w:p>
    <w:p w14:paraId="5112D211" w14:textId="77777777" w:rsidR="002F17D1" w:rsidRPr="005F3EA3" w:rsidRDefault="002F17D1" w:rsidP="005335D7">
      <w:pPr>
        <w:spacing w:after="0" w:line="240" w:lineRule="auto"/>
        <w:ind w:left="142"/>
        <w:rPr>
          <w:rFonts w:ascii="Tenorite" w:hAnsi="Tenorite"/>
          <w:color w:val="C45911" w:themeColor="accent2" w:themeShade="BF"/>
          <w:sz w:val="20"/>
        </w:rPr>
      </w:pPr>
    </w:p>
    <w:p w14:paraId="5A11BE1A"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7F5C7775" w14:textId="38FED34B" w:rsidR="002F17D1" w:rsidRDefault="002B7CB6" w:rsidP="005335D7">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Bulletins épidémiologiques</w:t>
      </w:r>
      <w:r w:rsidR="00BF4B08">
        <w:rPr>
          <w:rFonts w:ascii="Tenorite" w:hAnsi="Tenorite"/>
          <w:color w:val="C45911" w:themeColor="accent2" w:themeShade="BF"/>
          <w:sz w:val="20"/>
        </w:rPr>
        <w:t xml:space="preserve"> – Busca</w:t>
      </w:r>
    </w:p>
    <w:p w14:paraId="3A8266AC" w14:textId="77777777" w:rsidR="00BF4B08" w:rsidRPr="00BF4B08" w:rsidRDefault="00BF4B08" w:rsidP="005335D7">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53" w:history="1">
        <w:r w:rsidRPr="00BF4B08">
          <w:rPr>
            <w:rStyle w:val="Lienhypertexte"/>
            <w:rFonts w:ascii="Tenorite" w:eastAsia="SimSun" w:hAnsi="Tenorite" w:cs="SimianText-Orangutan"/>
            <w:sz w:val="20"/>
            <w:szCs w:val="20"/>
            <w:lang w:eastAsia="zh-CN"/>
          </w:rPr>
          <w:t>Bulletin épidémiologique</w:t>
        </w:r>
      </w:hyperlink>
      <w:r w:rsidRPr="00BF4B08">
        <w:rPr>
          <w:rFonts w:ascii="Tenorite" w:eastAsia="SimSun" w:hAnsi="Tenorite" w:cs="SimianText-Orangutan"/>
          <w:color w:val="5D5541"/>
          <w:sz w:val="20"/>
          <w:szCs w:val="20"/>
          <w:lang w:eastAsia="zh-CN"/>
        </w:rPr>
        <w:t>, numéro 102, Septembre 2024</w:t>
      </w:r>
    </w:p>
    <w:p w14:paraId="08975031" w14:textId="77777777" w:rsidR="00BF4B08" w:rsidRDefault="00BF4B08" w:rsidP="005335D7">
      <w:pPr>
        <w:adjustRightInd w:val="0"/>
        <w:spacing w:after="0" w:line="240" w:lineRule="auto"/>
        <w:ind w:left="142"/>
        <w:jc w:val="both"/>
        <w:rPr>
          <w:rFonts w:ascii="Tenorite" w:hAnsi="Tenorite"/>
          <w:sz w:val="20"/>
          <w:szCs w:val="20"/>
        </w:rPr>
      </w:pPr>
    </w:p>
    <w:p w14:paraId="37A9A662" w14:textId="1AD215B4" w:rsidR="00BF4B08" w:rsidRPr="00BF4B08" w:rsidRDefault="00BF4B08" w:rsidP="005335D7">
      <w:pPr>
        <w:adjustRightInd w:val="0"/>
        <w:spacing w:after="0" w:line="240" w:lineRule="auto"/>
        <w:ind w:left="142"/>
        <w:jc w:val="both"/>
        <w:rPr>
          <w:rFonts w:ascii="Tenorite" w:hAnsi="Tenorite"/>
          <w:sz w:val="20"/>
          <w:szCs w:val="20"/>
        </w:rPr>
      </w:pPr>
      <w:hyperlink r:id="rId54" w:history="1">
        <w:proofErr w:type="spellStart"/>
        <w:r w:rsidRPr="00BF4B08">
          <w:rPr>
            <w:rStyle w:val="Lienhypertexte"/>
            <w:rFonts w:ascii="Tenorite" w:hAnsi="Tenorite"/>
            <w:sz w:val="20"/>
            <w:szCs w:val="20"/>
          </w:rPr>
          <w:t>BuSCA</w:t>
        </w:r>
        <w:proofErr w:type="spellEnd"/>
        <w:r w:rsidRPr="00BF4B08">
          <w:rPr>
            <w:rStyle w:val="Lienhypertexte"/>
            <w:rFonts w:ascii="Tenorite" w:hAnsi="Tenorite"/>
            <w:sz w:val="20"/>
            <w:szCs w:val="20"/>
          </w:rPr>
          <w:t xml:space="preserve"> n°118</w:t>
        </w:r>
      </w:hyperlink>
      <w:r w:rsidRPr="00BF4B08">
        <w:rPr>
          <w:rFonts w:ascii="Tenorite" w:hAnsi="Tenorite"/>
          <w:sz w:val="20"/>
          <w:szCs w:val="20"/>
        </w:rPr>
        <w:t xml:space="preserve"> – 06 septembre 2024, Plateforme de surveillance de la chaîne alimentaire</w:t>
      </w:r>
    </w:p>
    <w:p w14:paraId="5586DAA1" w14:textId="77777777" w:rsidR="00BF4B08" w:rsidRPr="00BF4B08" w:rsidRDefault="00BF4B08" w:rsidP="005335D7">
      <w:pPr>
        <w:adjustRightInd w:val="0"/>
        <w:spacing w:after="0" w:line="240" w:lineRule="auto"/>
        <w:ind w:left="142"/>
        <w:jc w:val="both"/>
        <w:rPr>
          <w:rFonts w:ascii="Tenorite" w:hAnsi="Tenorite"/>
          <w:sz w:val="20"/>
          <w:szCs w:val="20"/>
        </w:rPr>
      </w:pPr>
      <w:hyperlink r:id="rId55" w:history="1">
        <w:proofErr w:type="spellStart"/>
        <w:r w:rsidRPr="00BF4B08">
          <w:rPr>
            <w:rStyle w:val="Lienhypertexte"/>
            <w:rFonts w:ascii="Tenorite" w:hAnsi="Tenorite"/>
            <w:sz w:val="20"/>
            <w:szCs w:val="20"/>
          </w:rPr>
          <w:t>BuSCA</w:t>
        </w:r>
        <w:proofErr w:type="spellEnd"/>
        <w:r w:rsidRPr="00BF4B08">
          <w:rPr>
            <w:rStyle w:val="Lienhypertexte"/>
            <w:rFonts w:ascii="Tenorite" w:hAnsi="Tenorite"/>
            <w:sz w:val="20"/>
            <w:szCs w:val="20"/>
          </w:rPr>
          <w:t xml:space="preserve"> n°119</w:t>
        </w:r>
      </w:hyperlink>
      <w:r w:rsidRPr="00BF4B08">
        <w:rPr>
          <w:rFonts w:ascii="Tenorite" w:hAnsi="Tenorite"/>
          <w:sz w:val="20"/>
          <w:szCs w:val="20"/>
        </w:rPr>
        <w:t>– 19 septembre 2024, Plateforme de surveillance de la chaîne alimentaire</w:t>
      </w:r>
    </w:p>
    <w:p w14:paraId="61C43EB1" w14:textId="77777777" w:rsidR="00BF4B08" w:rsidRPr="005F3EA3" w:rsidRDefault="00BF4B08" w:rsidP="005335D7">
      <w:pPr>
        <w:spacing w:after="0" w:line="240" w:lineRule="auto"/>
        <w:ind w:left="142" w:hanging="142"/>
        <w:rPr>
          <w:rFonts w:ascii="Tenorite" w:hAnsi="Tenorite"/>
          <w:color w:val="C45911" w:themeColor="accent2" w:themeShade="BF"/>
          <w:sz w:val="20"/>
        </w:rPr>
      </w:pPr>
    </w:p>
    <w:p w14:paraId="7D1944E0" w14:textId="3FE37765" w:rsidR="001B42BB" w:rsidRDefault="002B7CB6" w:rsidP="005335D7">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Fraudes (non exhaustif)</w:t>
      </w:r>
    </w:p>
    <w:p w14:paraId="7C282130" w14:textId="77777777" w:rsidR="00BF4B08" w:rsidRPr="00BF4B08" w:rsidRDefault="00BF4B08" w:rsidP="005335D7">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BF4B08">
        <w:rPr>
          <w:rFonts w:ascii="Tenorite" w:eastAsia="Calibri" w:hAnsi="Tenorite" w:cs="Calibri"/>
          <w:sz w:val="20"/>
          <w:szCs w:val="20"/>
        </w:rPr>
        <w:t xml:space="preserve">Newsletter </w:t>
      </w:r>
      <w:hyperlink r:id="rId56" w:history="1">
        <w:r w:rsidRPr="00BF4B08">
          <w:rPr>
            <w:rFonts w:ascii="Tenorite" w:eastAsia="Calibri" w:hAnsi="Tenorite" w:cs="Calibri"/>
            <w:color w:val="0000FF"/>
            <w:sz w:val="20"/>
            <w:szCs w:val="20"/>
          </w:rPr>
          <w:t>Juillet-Août 2024</w:t>
        </w:r>
      </w:hyperlink>
      <w:r w:rsidRPr="00BF4B08">
        <w:rPr>
          <w:rFonts w:ascii="Tenorite" w:eastAsia="Calibri" w:hAnsi="Tenorite" w:cs="Calibri"/>
          <w:sz w:val="20"/>
          <w:szCs w:val="20"/>
        </w:rPr>
        <w:t>, Fraudes alimentaires, Commission européenne</w:t>
      </w:r>
    </w:p>
    <w:p w14:paraId="4E9A018B" w14:textId="77777777" w:rsidR="00BF4B08" w:rsidRPr="005F3EA3" w:rsidRDefault="00BF4B08" w:rsidP="005335D7">
      <w:pPr>
        <w:spacing w:after="0" w:line="240" w:lineRule="auto"/>
        <w:ind w:left="284" w:hanging="142"/>
        <w:rPr>
          <w:rFonts w:ascii="Tenorite" w:hAnsi="Tenorite"/>
          <w:color w:val="C45911" w:themeColor="accent2" w:themeShade="BF"/>
          <w:sz w:val="20"/>
        </w:rPr>
      </w:pPr>
    </w:p>
    <w:p w14:paraId="4D744FC4" w14:textId="19A25B68" w:rsidR="001B42BB" w:rsidRDefault="002B7CB6" w:rsidP="005335D7">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Hygiène et GBPH</w:t>
      </w:r>
    </w:p>
    <w:p w14:paraId="4C694761" w14:textId="3A2E7E36" w:rsidR="00BF4B08" w:rsidRDefault="00BF4B08" w:rsidP="005335D7">
      <w:pPr>
        <w:shd w:val="clear" w:color="auto" w:fill="FFFFFF"/>
        <w:spacing w:after="0" w:line="240" w:lineRule="auto"/>
        <w:ind w:left="142"/>
        <w:jc w:val="both"/>
        <w:rPr>
          <w:rFonts w:ascii="Tenorite" w:eastAsia="Times New Roman" w:hAnsi="Tenorite" w:cs="Times New Roman"/>
          <w:sz w:val="20"/>
          <w:szCs w:val="20"/>
          <w:lang w:eastAsia="fr-FR"/>
        </w:rPr>
      </w:pPr>
      <w:bookmarkStart w:id="0" w:name="_Hlk178678700"/>
      <w:r w:rsidRPr="00B72E15">
        <w:rPr>
          <w:rFonts w:ascii="Tenorite" w:eastAsia="Times New Roman" w:hAnsi="Tenorite" w:cs="Times New Roman"/>
          <w:b/>
          <w:bCs/>
          <w:sz w:val="20"/>
          <w:szCs w:val="20"/>
          <w:lang w:eastAsia="fr-FR"/>
        </w:rPr>
        <w:t>Instruction technique </w:t>
      </w:r>
      <w:hyperlink r:id="rId57" w:history="1">
        <w:r w:rsidRPr="00B72E15">
          <w:rPr>
            <w:rFonts w:ascii="Tenorite" w:eastAsia="Times New Roman" w:hAnsi="Tenorite" w:cs="Times New Roman"/>
            <w:sz w:val="20"/>
            <w:szCs w:val="20"/>
            <w:u w:val="single"/>
            <w:lang w:eastAsia="fr-FR"/>
          </w:rPr>
          <w:t>DGAL/SDSSA/2024-528</w:t>
        </w:r>
      </w:hyperlink>
      <w:r w:rsidRPr="00B72E15">
        <w:rPr>
          <w:rFonts w:ascii="Tenorite" w:eastAsia="Times New Roman" w:hAnsi="Tenorite" w:cs="Times New Roman"/>
          <w:sz w:val="20"/>
          <w:szCs w:val="20"/>
          <w:lang w:eastAsia="fr-FR"/>
        </w:rPr>
        <w:t xml:space="preserve"> du 24-09-2024 - Critères de détermination des établissements éligibles à des </w:t>
      </w:r>
      <w:r w:rsidRPr="00B72E15">
        <w:rPr>
          <w:rFonts w:ascii="Tenorite" w:eastAsia="Times New Roman" w:hAnsi="Tenorite" w:cs="Times New Roman"/>
          <w:b/>
          <w:bCs/>
          <w:sz w:val="20"/>
          <w:szCs w:val="20"/>
          <w:lang w:eastAsia="fr-FR"/>
        </w:rPr>
        <w:t>mesures de flexibilité</w:t>
      </w:r>
      <w:r w:rsidRPr="00B72E15">
        <w:rPr>
          <w:rFonts w:ascii="Tenorite" w:eastAsia="Times New Roman" w:hAnsi="Tenorite" w:cs="Times New Roman"/>
          <w:sz w:val="20"/>
          <w:szCs w:val="20"/>
          <w:lang w:eastAsia="fr-FR"/>
        </w:rPr>
        <w:t xml:space="preserve"> et lignes directrices en matière de mise en œuvre de cette flexibilité au niveau du </w:t>
      </w:r>
      <w:r w:rsidRPr="00B72E15">
        <w:rPr>
          <w:rFonts w:ascii="Tenorite" w:eastAsia="Times New Roman" w:hAnsi="Tenorite" w:cs="Times New Roman"/>
          <w:b/>
          <w:bCs/>
          <w:sz w:val="20"/>
          <w:szCs w:val="20"/>
          <w:lang w:eastAsia="fr-FR"/>
        </w:rPr>
        <w:t>plan de maîtrise sanitaire</w:t>
      </w:r>
      <w:r w:rsidRPr="00B72E15">
        <w:rPr>
          <w:rFonts w:ascii="Tenorite" w:eastAsia="Times New Roman" w:hAnsi="Tenorite" w:cs="Times New Roman"/>
          <w:sz w:val="20"/>
          <w:szCs w:val="20"/>
          <w:lang w:eastAsia="fr-FR"/>
        </w:rPr>
        <w:t xml:space="preserve"> (DGAL)</w:t>
      </w:r>
      <w:bookmarkEnd w:id="0"/>
    </w:p>
    <w:p w14:paraId="76BA4A57" w14:textId="77777777" w:rsidR="007C0074" w:rsidRPr="00B72E15" w:rsidRDefault="007C0074" w:rsidP="005335D7">
      <w:pPr>
        <w:shd w:val="clear" w:color="auto" w:fill="FFFFFF"/>
        <w:spacing w:after="0" w:line="240" w:lineRule="auto"/>
        <w:ind w:left="142"/>
        <w:jc w:val="both"/>
        <w:rPr>
          <w:rFonts w:ascii="Tenorite" w:eastAsia="Times New Roman" w:hAnsi="Tenorite" w:cs="Times New Roman"/>
          <w:sz w:val="20"/>
          <w:szCs w:val="20"/>
          <w:lang w:eastAsia="fr-FR"/>
        </w:rPr>
      </w:pPr>
    </w:p>
    <w:p w14:paraId="322EE739" w14:textId="77777777" w:rsidR="00BF4B08" w:rsidRPr="005F3EA3" w:rsidRDefault="00BF4B08" w:rsidP="005335D7">
      <w:pPr>
        <w:spacing w:after="0" w:line="240" w:lineRule="auto"/>
        <w:ind w:left="284" w:hanging="142"/>
        <w:rPr>
          <w:rFonts w:ascii="Tenorite" w:hAnsi="Tenorite"/>
          <w:color w:val="C45911" w:themeColor="accent2" w:themeShade="BF"/>
          <w:sz w:val="20"/>
        </w:rPr>
      </w:pPr>
    </w:p>
    <w:p w14:paraId="279B3CF6"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INGREDIENTS ET NOUVEAUX INGREDIENTS</w:t>
      </w:r>
      <w:r w:rsidRPr="005F3EA3">
        <w:rPr>
          <w:rFonts w:ascii="Tenorite" w:hAnsi="Tenorite"/>
          <w:b/>
          <w:color w:val="833C0B" w:themeColor="accent2" w:themeShade="80"/>
          <w:sz w:val="24"/>
        </w:rPr>
        <w:tab/>
      </w:r>
    </w:p>
    <w:p w14:paraId="097E79EB" w14:textId="5CF87327" w:rsidR="002B7CB6" w:rsidRDefault="00816AAF" w:rsidP="005335D7">
      <w:pPr>
        <w:spacing w:after="0" w:line="240" w:lineRule="auto"/>
        <w:ind w:left="142"/>
        <w:jc w:val="both"/>
        <w:rPr>
          <w:rFonts w:ascii="Tenorite" w:eastAsia="Calibri" w:hAnsi="Tenorite" w:cs="Times New Roman"/>
          <w:sz w:val="20"/>
          <w:szCs w:val="20"/>
        </w:rPr>
      </w:pPr>
      <w:hyperlink r:id="rId58" w:history="1">
        <w:r w:rsidRPr="00816AAF">
          <w:rPr>
            <w:rFonts w:ascii="Tenorite" w:eastAsia="Calibri" w:hAnsi="Tenorite" w:cs="Times New Roman"/>
            <w:color w:val="0000FF"/>
            <w:sz w:val="20"/>
            <w:szCs w:val="20"/>
          </w:rPr>
          <w:t>Règlement</w:t>
        </w:r>
      </w:hyperlink>
      <w:r w:rsidRPr="00816AAF">
        <w:rPr>
          <w:rFonts w:ascii="Tenorite" w:eastAsia="Calibri" w:hAnsi="Tenorite" w:cs="Times New Roman"/>
          <w:sz w:val="20"/>
          <w:szCs w:val="20"/>
        </w:rPr>
        <w:t xml:space="preserve"> d’exécution (UE) 2024/2196 de la Commission du 4 septembre 2024 rectifiant la version en langue française du règlement d’exécution (UE) 2017/2470 établissant la liste de l’Union des nouveaux aliments conformément au règlement (UE) 2015/2283 du Parlement européen et du Conseil relatif aux nouveaux aliments (JOUE 05/09/2024)</w:t>
      </w:r>
    </w:p>
    <w:p w14:paraId="71F216BE" w14:textId="77777777" w:rsidR="00816AAF" w:rsidRDefault="00816AAF" w:rsidP="005335D7">
      <w:pPr>
        <w:spacing w:after="0" w:line="240" w:lineRule="auto"/>
        <w:ind w:left="142"/>
        <w:jc w:val="both"/>
        <w:rPr>
          <w:rFonts w:ascii="Tenorite" w:hAnsi="Tenorite"/>
          <w:b/>
        </w:rPr>
      </w:pPr>
    </w:p>
    <w:p w14:paraId="0E541C9A" w14:textId="77777777" w:rsidR="00816AAF" w:rsidRPr="00816AAF" w:rsidRDefault="00816AAF" w:rsidP="005335D7">
      <w:pPr>
        <w:spacing w:after="0" w:line="240" w:lineRule="auto"/>
        <w:ind w:left="142"/>
        <w:jc w:val="both"/>
        <w:rPr>
          <w:rFonts w:ascii="Tenorite" w:eastAsia="Calibri" w:hAnsi="Tenorite" w:cs="Times New Roman"/>
          <w:sz w:val="20"/>
          <w:szCs w:val="20"/>
        </w:rPr>
      </w:pPr>
      <w:hyperlink r:id="rId59" w:history="1">
        <w:r w:rsidRPr="00816AAF">
          <w:rPr>
            <w:rFonts w:ascii="Tenorite" w:eastAsia="Calibri" w:hAnsi="Tenorite" w:cs="Times New Roman"/>
            <w:color w:val="0000FF"/>
            <w:sz w:val="20"/>
            <w:szCs w:val="20"/>
          </w:rPr>
          <w:t>Décision</w:t>
        </w:r>
      </w:hyperlink>
      <w:r w:rsidRPr="00816AAF">
        <w:rPr>
          <w:rFonts w:ascii="Tenorite" w:eastAsia="Calibri" w:hAnsi="Tenorite" w:cs="Times New Roman"/>
          <w:sz w:val="20"/>
          <w:szCs w:val="20"/>
        </w:rPr>
        <w:t xml:space="preserve"> nº 496590 du Conseil d'État [Poudres énergisantes], Juge des référés (Conseil d’Etat, lecture du 14/08/2024)</w:t>
      </w:r>
    </w:p>
    <w:p w14:paraId="417A5D25" w14:textId="77777777" w:rsidR="00816AAF" w:rsidRDefault="00816AAF" w:rsidP="005335D7">
      <w:pPr>
        <w:spacing w:after="0" w:line="240" w:lineRule="auto"/>
        <w:ind w:left="284" w:hanging="142"/>
        <w:rPr>
          <w:rFonts w:ascii="Tenorite" w:hAnsi="Tenorite"/>
          <w:b/>
        </w:rPr>
      </w:pPr>
    </w:p>
    <w:p w14:paraId="12D9C55D" w14:textId="77777777" w:rsidR="00E33AF3" w:rsidRPr="00E33AF3" w:rsidRDefault="00E33AF3" w:rsidP="005335D7">
      <w:pPr>
        <w:spacing w:after="0" w:line="240" w:lineRule="auto"/>
        <w:ind w:left="142"/>
        <w:jc w:val="both"/>
        <w:rPr>
          <w:rFonts w:ascii="Tenorite" w:eastAsia="Calibri" w:hAnsi="Tenorite" w:cs="Times New Roman"/>
          <w:sz w:val="20"/>
          <w:szCs w:val="20"/>
        </w:rPr>
      </w:pPr>
      <w:hyperlink r:id="rId60" w:tgtFrame="_blank" w:history="1">
        <w:r w:rsidRPr="00E33AF3">
          <w:rPr>
            <w:rFonts w:ascii="Tenorite" w:eastAsia="Calibri" w:hAnsi="Tenorite" w:cs="Arial"/>
            <w:color w:val="0000FF"/>
            <w:sz w:val="20"/>
            <w:szCs w:val="20"/>
          </w:rPr>
          <w:t>AVIS relatif à un cas d’insuffisance rénale aiguë en lien avec la consommation du produit Matcha slim®</w:t>
        </w:r>
      </w:hyperlink>
      <w:r w:rsidRPr="00E33AF3">
        <w:rPr>
          <w:rFonts w:ascii="Tenorite" w:eastAsia="Calibri" w:hAnsi="Tenorite" w:cs="Arial"/>
          <w:color w:val="3C3C3C"/>
          <w:sz w:val="20"/>
          <w:szCs w:val="20"/>
        </w:rPr>
        <w:t xml:space="preserve"> - avis signé le 28/08/24</w:t>
      </w:r>
    </w:p>
    <w:p w14:paraId="7FF270AE" w14:textId="77777777" w:rsidR="00E33AF3" w:rsidRPr="005F3EA3" w:rsidRDefault="00E33AF3" w:rsidP="005335D7">
      <w:pPr>
        <w:spacing w:after="0" w:line="240" w:lineRule="auto"/>
        <w:ind w:left="284" w:hanging="142"/>
        <w:rPr>
          <w:rFonts w:ascii="Tenorite" w:hAnsi="Tenorite"/>
          <w:b/>
        </w:rPr>
      </w:pPr>
    </w:p>
    <w:p w14:paraId="5417E9F6"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p>
    <w:p w14:paraId="77BFCADD" w14:textId="77777777" w:rsidR="00764235" w:rsidRPr="00764235" w:rsidRDefault="00764235" w:rsidP="005335D7">
      <w:pPr>
        <w:widowControl w:val="0"/>
        <w:autoSpaceDE w:val="0"/>
        <w:autoSpaceDN w:val="0"/>
        <w:spacing w:after="0" w:line="240" w:lineRule="auto"/>
        <w:ind w:left="142"/>
        <w:jc w:val="both"/>
        <w:rPr>
          <w:rFonts w:ascii="Tenorite" w:eastAsia="Calibri" w:hAnsi="Tenorite" w:cs="Times New Roman"/>
          <w:sz w:val="20"/>
          <w:szCs w:val="20"/>
        </w:rPr>
      </w:pPr>
      <w:hyperlink r:id="rId61" w:history="1">
        <w:r w:rsidRPr="00764235">
          <w:rPr>
            <w:rFonts w:ascii="Tenorite" w:eastAsia="Calibri" w:hAnsi="Tenorite" w:cs="Times New Roman"/>
            <w:color w:val="0000FF"/>
            <w:sz w:val="20"/>
            <w:szCs w:val="20"/>
          </w:rPr>
          <w:t>Règlement</w:t>
        </w:r>
      </w:hyperlink>
      <w:r w:rsidRPr="00764235">
        <w:rPr>
          <w:rFonts w:ascii="Tenorite" w:eastAsia="Calibri" w:hAnsi="Tenorite" w:cs="Times New Roman"/>
          <w:sz w:val="20"/>
          <w:szCs w:val="20"/>
        </w:rPr>
        <w:t xml:space="preserve"> d’exécution (UE) 2024/2399 de la Commission du 12 septembre 2024 modifiant le règlement d’exécution (UE) no 1352/2013 de la Commission établissant les formulaires prévus par le règlement (UE) no 608/2013 du Parlement européen et du Conseil concernant le contrôle, par les autorités douanières, du </w:t>
      </w:r>
      <w:r w:rsidRPr="00764235">
        <w:rPr>
          <w:rFonts w:ascii="Tenorite" w:eastAsia="Calibri" w:hAnsi="Tenorite" w:cs="Times New Roman"/>
          <w:b/>
          <w:bCs/>
          <w:sz w:val="20"/>
          <w:szCs w:val="20"/>
        </w:rPr>
        <w:t>respect des droits de propriété intellectuelle</w:t>
      </w:r>
      <w:r w:rsidRPr="00764235">
        <w:rPr>
          <w:rFonts w:ascii="Tenorite" w:eastAsia="Calibri" w:hAnsi="Tenorite" w:cs="Times New Roman"/>
          <w:sz w:val="20"/>
          <w:szCs w:val="20"/>
        </w:rPr>
        <w:t xml:space="preserve"> (JOUE 13/09/2024)</w:t>
      </w:r>
    </w:p>
    <w:p w14:paraId="13D6868F" w14:textId="77777777" w:rsidR="00764235" w:rsidRPr="00764235" w:rsidRDefault="00764235" w:rsidP="005335D7">
      <w:pPr>
        <w:widowControl w:val="0"/>
        <w:autoSpaceDE w:val="0"/>
        <w:autoSpaceDN w:val="0"/>
        <w:spacing w:after="0" w:line="240" w:lineRule="auto"/>
        <w:ind w:left="142"/>
        <w:jc w:val="both"/>
        <w:rPr>
          <w:rFonts w:ascii="Tenorite" w:eastAsia="Calibri" w:hAnsi="Tenorite" w:cs="Times New Roman"/>
          <w:sz w:val="20"/>
          <w:szCs w:val="20"/>
        </w:rPr>
      </w:pPr>
    </w:p>
    <w:p w14:paraId="27F4E29C" w14:textId="77777777" w:rsidR="00764235" w:rsidRPr="00764235" w:rsidRDefault="00764235" w:rsidP="005335D7">
      <w:pPr>
        <w:widowControl w:val="0"/>
        <w:autoSpaceDE w:val="0"/>
        <w:autoSpaceDN w:val="0"/>
        <w:spacing w:after="0" w:line="240" w:lineRule="auto"/>
        <w:ind w:left="142"/>
        <w:jc w:val="both"/>
        <w:rPr>
          <w:rFonts w:ascii="Tenorite" w:eastAsia="Calibri" w:hAnsi="Tenorite" w:cs="Times New Roman"/>
          <w:sz w:val="20"/>
          <w:szCs w:val="20"/>
        </w:rPr>
      </w:pPr>
      <w:hyperlink r:id="rId62" w:history="1">
        <w:r w:rsidRPr="00764235">
          <w:rPr>
            <w:rFonts w:ascii="Tenorite" w:eastAsia="Calibri" w:hAnsi="Tenorite" w:cs="Times New Roman"/>
            <w:color w:val="0000FF"/>
            <w:sz w:val="20"/>
            <w:szCs w:val="20"/>
          </w:rPr>
          <w:t>Règlement</w:t>
        </w:r>
      </w:hyperlink>
      <w:r w:rsidRPr="00764235">
        <w:rPr>
          <w:rFonts w:ascii="Tenorite" w:eastAsia="Calibri" w:hAnsi="Tenorite" w:cs="Times New Roman"/>
          <w:sz w:val="20"/>
          <w:szCs w:val="20"/>
        </w:rPr>
        <w:t xml:space="preserve"> délégué (UE) 2024/2104 de la Commission du 27 juin 2024 complétant le règlement (UE) 2017/625 du Parlement européen et du Conseil en ce qui concerne les cas et les conditions dans lesquels les autorités compétentes peuvent demander aux opérateurs de notifier l’arrivée de certains biens entrant dans l’Union (JOUE 25/09/2024)</w:t>
      </w:r>
    </w:p>
    <w:p w14:paraId="3477680C" w14:textId="77777777" w:rsidR="002B7CB6" w:rsidRPr="005F3EA3" w:rsidRDefault="002B7CB6" w:rsidP="005335D7">
      <w:pPr>
        <w:spacing w:after="0" w:line="240" w:lineRule="auto"/>
        <w:ind w:left="284" w:hanging="142"/>
        <w:rPr>
          <w:rFonts w:ascii="Tenorite" w:hAnsi="Tenorite"/>
          <w:b/>
        </w:rPr>
      </w:pPr>
    </w:p>
    <w:p w14:paraId="63DF5A7E"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MATERIAUX AU CONTACT – CONDITIONNEMENT - EMBALLAGE</w:t>
      </w:r>
    </w:p>
    <w:p w14:paraId="4AA20FA8"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63" w:history="1">
        <w:r w:rsidRPr="005335D7">
          <w:rPr>
            <w:rFonts w:ascii="Tenorite" w:eastAsia="Calibri" w:hAnsi="Tenorite" w:cs="Times New Roman"/>
            <w:color w:val="0000FF"/>
            <w:sz w:val="20"/>
            <w:szCs w:val="20"/>
          </w:rPr>
          <w:t>Avis</w:t>
        </w:r>
      </w:hyperlink>
      <w:r w:rsidRPr="005335D7">
        <w:rPr>
          <w:rFonts w:ascii="Tenorite" w:eastAsia="Calibri" w:hAnsi="Tenorite" w:cs="Times New Roman"/>
          <w:sz w:val="20"/>
          <w:szCs w:val="20"/>
        </w:rPr>
        <w:t xml:space="preserve"> relatif à l'interdiction des emballages constitués pour tout ou partie de polymères ou de copolymères </w:t>
      </w:r>
      <w:proofErr w:type="spellStart"/>
      <w:r w:rsidRPr="005335D7">
        <w:rPr>
          <w:rFonts w:ascii="Tenorite" w:eastAsia="Calibri" w:hAnsi="Tenorite" w:cs="Times New Roman"/>
          <w:sz w:val="20"/>
          <w:szCs w:val="20"/>
        </w:rPr>
        <w:t>styréniques</w:t>
      </w:r>
      <w:proofErr w:type="spellEnd"/>
      <w:r w:rsidRPr="005335D7">
        <w:rPr>
          <w:rFonts w:ascii="Tenorite" w:eastAsia="Calibri" w:hAnsi="Tenorite" w:cs="Times New Roman"/>
          <w:sz w:val="20"/>
          <w:szCs w:val="20"/>
        </w:rPr>
        <w:t>, non recyclables et dans l'incapacité d'intégrer une filière de recyclage (JORF 28/09/2024)</w:t>
      </w:r>
    </w:p>
    <w:p w14:paraId="0A9F6E37" w14:textId="77777777" w:rsidR="002B7CB6" w:rsidRPr="005F3EA3" w:rsidRDefault="002B7CB6" w:rsidP="005335D7">
      <w:pPr>
        <w:spacing w:after="0" w:line="240" w:lineRule="auto"/>
        <w:ind w:left="284" w:hanging="142"/>
        <w:rPr>
          <w:rFonts w:ascii="Tenorite" w:hAnsi="Tenorite"/>
          <w:b/>
        </w:rPr>
      </w:pPr>
    </w:p>
    <w:p w14:paraId="2153F0AD"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43AD0642" w14:textId="77777777" w:rsidR="007C0074" w:rsidRPr="007C0074" w:rsidRDefault="007C0074" w:rsidP="007C0074">
      <w:pPr>
        <w:spacing w:after="0" w:line="240" w:lineRule="auto"/>
        <w:ind w:left="284" w:hanging="142"/>
        <w:rPr>
          <w:rFonts w:ascii="Tenorite" w:hAnsi="Tenorite"/>
          <w:b/>
          <w:bCs/>
          <w:sz w:val="24"/>
          <w:szCs w:val="28"/>
        </w:rPr>
      </w:pPr>
      <w:r w:rsidRPr="007C0074">
        <w:rPr>
          <w:rFonts w:ascii="Tenorite" w:hAnsi="Tenorite"/>
          <w:b/>
          <w:bCs/>
          <w:sz w:val="24"/>
          <w:szCs w:val="28"/>
        </w:rPr>
        <w:t>/</w:t>
      </w:r>
    </w:p>
    <w:p w14:paraId="2C44D545" w14:textId="77777777" w:rsidR="001B42BB" w:rsidRPr="005F3EA3" w:rsidRDefault="001B42BB" w:rsidP="005335D7">
      <w:pPr>
        <w:spacing w:after="0" w:line="240" w:lineRule="auto"/>
        <w:ind w:left="284" w:hanging="142"/>
        <w:rPr>
          <w:rFonts w:ascii="Tenorite" w:hAnsi="Tenorite"/>
          <w:b/>
        </w:rPr>
      </w:pPr>
    </w:p>
    <w:p w14:paraId="67B68949"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5FD5FBEC" w14:textId="77777777" w:rsidR="007C0074" w:rsidRPr="007C0074" w:rsidRDefault="007C0074" w:rsidP="007C0074">
      <w:pPr>
        <w:spacing w:after="0" w:line="240" w:lineRule="auto"/>
        <w:ind w:left="284" w:hanging="142"/>
        <w:rPr>
          <w:rFonts w:ascii="Tenorite" w:hAnsi="Tenorite"/>
          <w:b/>
          <w:bCs/>
          <w:sz w:val="24"/>
          <w:szCs w:val="28"/>
        </w:rPr>
      </w:pPr>
      <w:r w:rsidRPr="007C0074">
        <w:rPr>
          <w:rFonts w:ascii="Tenorite" w:hAnsi="Tenorite"/>
          <w:b/>
          <w:bCs/>
          <w:sz w:val="24"/>
          <w:szCs w:val="28"/>
        </w:rPr>
        <w:t>/</w:t>
      </w:r>
    </w:p>
    <w:p w14:paraId="60BDB1D3" w14:textId="77777777" w:rsidR="001B42BB" w:rsidRPr="005F3EA3" w:rsidRDefault="001B42BB" w:rsidP="005335D7">
      <w:pPr>
        <w:spacing w:after="0" w:line="240" w:lineRule="auto"/>
        <w:ind w:left="284" w:hanging="142"/>
        <w:rPr>
          <w:rFonts w:ascii="Tenorite" w:hAnsi="Tenorite"/>
          <w:b/>
        </w:rPr>
      </w:pPr>
    </w:p>
    <w:p w14:paraId="685BD29A"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SIGNES DE QUALITE</w:t>
      </w:r>
    </w:p>
    <w:p w14:paraId="03CADD1B" w14:textId="77777777" w:rsidR="005335D7" w:rsidRPr="005335D7" w:rsidRDefault="005335D7" w:rsidP="005335D7">
      <w:pPr>
        <w:spacing w:after="0" w:line="240" w:lineRule="auto"/>
        <w:ind w:left="142"/>
        <w:jc w:val="both"/>
        <w:rPr>
          <w:rFonts w:ascii="Tenorite" w:eastAsia="Calibri" w:hAnsi="Tenorite" w:cs="Times New Roman"/>
          <w:sz w:val="20"/>
          <w:szCs w:val="20"/>
        </w:rPr>
      </w:pPr>
      <w:hyperlink r:id="rId64" w:history="1">
        <w:r w:rsidRPr="005335D7">
          <w:rPr>
            <w:rFonts w:ascii="Tenorite" w:eastAsia="Calibri" w:hAnsi="Tenorite" w:cs="Times New Roman"/>
            <w:b/>
            <w:bCs/>
            <w:color w:val="0000FF"/>
            <w:sz w:val="20"/>
            <w:szCs w:val="20"/>
          </w:rPr>
          <w:t>Annexe d'arrêté</w:t>
        </w:r>
      </w:hyperlink>
      <w:r w:rsidRPr="005335D7">
        <w:rPr>
          <w:rFonts w:ascii="Tenorite" w:eastAsia="Calibri" w:hAnsi="Tenorite" w:cs="Times New Roman"/>
          <w:sz w:val="20"/>
          <w:szCs w:val="20"/>
        </w:rPr>
        <w:t> du 30-08-2024 - Règlement du Concours général agricole Paris 2025 (DGPE)</w:t>
      </w:r>
    </w:p>
    <w:p w14:paraId="4543EB67" w14:textId="77777777" w:rsidR="005335D7" w:rsidRDefault="005335D7" w:rsidP="005335D7">
      <w:pPr>
        <w:spacing w:after="0" w:line="240" w:lineRule="auto"/>
        <w:ind w:left="284" w:hanging="142"/>
        <w:rPr>
          <w:rFonts w:ascii="Tenorite" w:hAnsi="Tenorite"/>
          <w:color w:val="C45911" w:themeColor="accent2" w:themeShade="BF"/>
          <w:sz w:val="20"/>
        </w:rPr>
      </w:pPr>
    </w:p>
    <w:p w14:paraId="415BEA78" w14:textId="77777777" w:rsidR="002B7CB6" w:rsidRPr="005F3EA3" w:rsidRDefault="002B7CB6" w:rsidP="005335D7">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TRAITEMENTS DE CONSERVATION</w:t>
      </w:r>
    </w:p>
    <w:p w14:paraId="2F2E86CB" w14:textId="77777777" w:rsidR="007C0074" w:rsidRPr="007C0074" w:rsidRDefault="007C0074" w:rsidP="007C0074">
      <w:pPr>
        <w:spacing w:after="0" w:line="240" w:lineRule="auto"/>
        <w:ind w:left="284" w:hanging="142"/>
        <w:rPr>
          <w:rFonts w:ascii="Tenorite" w:hAnsi="Tenorite"/>
          <w:b/>
          <w:bCs/>
          <w:sz w:val="24"/>
          <w:szCs w:val="28"/>
        </w:rPr>
      </w:pPr>
      <w:r w:rsidRPr="007C0074">
        <w:rPr>
          <w:rFonts w:ascii="Tenorite" w:hAnsi="Tenorite"/>
          <w:b/>
          <w:bCs/>
          <w:sz w:val="24"/>
          <w:szCs w:val="28"/>
        </w:rPr>
        <w:t>/</w:t>
      </w:r>
    </w:p>
    <w:p w14:paraId="72ACAB2C" w14:textId="77777777" w:rsidR="00D025D4" w:rsidRPr="005F3EA3" w:rsidRDefault="00D025D4" w:rsidP="005335D7">
      <w:pPr>
        <w:tabs>
          <w:tab w:val="left" w:pos="4785"/>
        </w:tabs>
        <w:spacing w:after="0" w:line="240" w:lineRule="auto"/>
        <w:rPr>
          <w:rFonts w:ascii="Tenorite" w:hAnsi="Tenorite"/>
        </w:rPr>
      </w:pPr>
      <w:r w:rsidRPr="005F3EA3">
        <w:rPr>
          <w:rFonts w:ascii="Tenorite" w:hAnsi="Tenorite"/>
        </w:rPr>
        <w:tab/>
      </w:r>
    </w:p>
    <w:p w14:paraId="652FAA4C" w14:textId="77777777" w:rsidR="00D025D4" w:rsidRPr="005F3EA3" w:rsidRDefault="00D025D4" w:rsidP="005335D7">
      <w:pPr>
        <w:spacing w:after="0" w:line="240" w:lineRule="auto"/>
        <w:ind w:left="709" w:hanging="283"/>
        <w:rPr>
          <w:rFonts w:ascii="Tenorite" w:hAnsi="Tenorite" w:cs="Tahoma"/>
          <w:b/>
          <w:color w:val="EF671A"/>
          <w:sz w:val="8"/>
          <w:szCs w:val="8"/>
          <w:u w:val="single"/>
        </w:rPr>
      </w:pPr>
    </w:p>
    <w:p w14:paraId="70A5146D" w14:textId="77777777" w:rsidR="00D025D4" w:rsidRPr="002D342B" w:rsidRDefault="00D025D4" w:rsidP="005335D7">
      <w:pPr>
        <w:spacing w:after="0" w:line="240"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39BCDC7C" w14:textId="77777777" w:rsidR="00D025D4" w:rsidRPr="005F3EA3" w:rsidRDefault="00D025D4" w:rsidP="005335D7">
      <w:pPr>
        <w:shd w:val="clear" w:color="auto" w:fill="D9D9D9" w:themeFill="background1" w:themeFillShade="D9"/>
        <w:spacing w:after="0" w:line="240" w:lineRule="auto"/>
        <w:ind w:left="426" w:hanging="283"/>
        <w:rPr>
          <w:rFonts w:ascii="Tenorite" w:hAnsi="Tenorite"/>
          <w:b/>
        </w:rPr>
      </w:pPr>
      <w:r w:rsidRPr="005F3EA3">
        <w:rPr>
          <w:rFonts w:ascii="Tenorite" w:hAnsi="Tenorite"/>
          <w:b/>
          <w:color w:val="833C0B" w:themeColor="accent2" w:themeShade="80"/>
          <w:sz w:val="24"/>
          <w:szCs w:val="24"/>
        </w:rPr>
        <w:t>FRUITS ET LEGUMES - VEGETAUX</w:t>
      </w:r>
    </w:p>
    <w:p w14:paraId="449302FA" w14:textId="77777777" w:rsidR="0012180A" w:rsidRDefault="0012180A" w:rsidP="005335D7">
      <w:pPr>
        <w:spacing w:after="0" w:line="240" w:lineRule="auto"/>
        <w:ind w:left="426" w:hanging="283"/>
        <w:rPr>
          <w:rFonts w:ascii="Tenorite" w:hAnsi="Tenorite"/>
          <w:color w:val="C45911" w:themeColor="accent2" w:themeShade="BF"/>
          <w:sz w:val="20"/>
        </w:rPr>
      </w:pPr>
      <w:r w:rsidRPr="005F3EA3">
        <w:rPr>
          <w:rFonts w:ascii="Tenorite" w:hAnsi="Tenorite"/>
          <w:color w:val="C45911" w:themeColor="accent2" w:themeShade="BF"/>
          <w:sz w:val="20"/>
        </w:rPr>
        <w:t>Maladies des végétaux</w:t>
      </w:r>
    </w:p>
    <w:p w14:paraId="2D65EB2A" w14:textId="77777777" w:rsidR="00E33AF3" w:rsidRPr="00E33AF3" w:rsidRDefault="00E33AF3" w:rsidP="005335D7">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E33AF3">
        <w:rPr>
          <w:rFonts w:ascii="Tenorite" w:eastAsia="Times New Roman" w:hAnsi="Tenorite" w:cs="Times New Roman"/>
          <w:b/>
          <w:bCs/>
          <w:color w:val="636363"/>
          <w:sz w:val="20"/>
          <w:szCs w:val="20"/>
          <w:lang w:eastAsia="fr-FR"/>
        </w:rPr>
        <w:t>Instruction technique </w:t>
      </w:r>
      <w:hyperlink r:id="rId65" w:history="1">
        <w:r w:rsidRPr="00E33AF3">
          <w:rPr>
            <w:rFonts w:ascii="Tenorite" w:eastAsia="Times New Roman" w:hAnsi="Tenorite" w:cs="Times New Roman"/>
            <w:color w:val="0088CC"/>
            <w:sz w:val="20"/>
            <w:szCs w:val="20"/>
            <w:u w:val="single"/>
            <w:lang w:eastAsia="fr-FR"/>
          </w:rPr>
          <w:t>DGAL/SDSPV/2024-508</w:t>
        </w:r>
      </w:hyperlink>
      <w:r w:rsidRPr="00E33AF3">
        <w:rPr>
          <w:rFonts w:ascii="Tenorite" w:eastAsia="Times New Roman" w:hAnsi="Tenorite" w:cs="Times New Roman"/>
          <w:color w:val="636363"/>
          <w:sz w:val="20"/>
          <w:szCs w:val="20"/>
          <w:lang w:eastAsia="fr-FR"/>
        </w:rPr>
        <w:t xml:space="preserve"> du 11-09-2024 - Méthode officielle d'analyse ANSES/LSV/MA041 relative à la détection de </w:t>
      </w:r>
      <w:proofErr w:type="spellStart"/>
      <w:r w:rsidRPr="00E33AF3">
        <w:rPr>
          <w:rFonts w:ascii="Tenorite" w:eastAsia="Times New Roman" w:hAnsi="Tenorite" w:cs="Times New Roman"/>
          <w:color w:val="636363"/>
          <w:sz w:val="20"/>
          <w:szCs w:val="20"/>
          <w:lang w:eastAsia="fr-FR"/>
        </w:rPr>
        <w:t>Phyllosticta</w:t>
      </w:r>
      <w:proofErr w:type="spellEnd"/>
      <w:r w:rsidRPr="00E33AF3">
        <w:rPr>
          <w:rFonts w:ascii="Tenorite" w:eastAsia="Times New Roman" w:hAnsi="Tenorite" w:cs="Times New Roman"/>
          <w:color w:val="636363"/>
          <w:sz w:val="20"/>
          <w:szCs w:val="20"/>
          <w:lang w:eastAsia="fr-FR"/>
        </w:rPr>
        <w:t xml:space="preserve"> </w:t>
      </w:r>
      <w:proofErr w:type="spellStart"/>
      <w:r w:rsidRPr="00E33AF3">
        <w:rPr>
          <w:rFonts w:ascii="Tenorite" w:eastAsia="Times New Roman" w:hAnsi="Tenorite" w:cs="Times New Roman"/>
          <w:color w:val="636363"/>
          <w:sz w:val="20"/>
          <w:szCs w:val="20"/>
          <w:lang w:eastAsia="fr-FR"/>
        </w:rPr>
        <w:t>citricarpa</w:t>
      </w:r>
      <w:proofErr w:type="spellEnd"/>
      <w:r w:rsidRPr="00E33AF3">
        <w:rPr>
          <w:rFonts w:ascii="Tenorite" w:eastAsia="Times New Roman" w:hAnsi="Tenorite" w:cs="Times New Roman"/>
          <w:color w:val="636363"/>
          <w:sz w:val="20"/>
          <w:szCs w:val="20"/>
          <w:lang w:eastAsia="fr-FR"/>
        </w:rPr>
        <w:t xml:space="preserve"> par la technique de PCR en temps réel. (DGAL)</w:t>
      </w:r>
    </w:p>
    <w:p w14:paraId="02B679A9" w14:textId="77777777" w:rsidR="00E33AF3" w:rsidRDefault="00E33AF3" w:rsidP="005335D7">
      <w:pPr>
        <w:spacing w:after="0" w:line="240" w:lineRule="auto"/>
        <w:ind w:left="426" w:hanging="283"/>
        <w:rPr>
          <w:rFonts w:ascii="Tenorite" w:hAnsi="Tenorite"/>
          <w:color w:val="C45911" w:themeColor="accent2" w:themeShade="BF"/>
          <w:sz w:val="20"/>
        </w:rPr>
      </w:pPr>
    </w:p>
    <w:p w14:paraId="4217B4DC" w14:textId="77777777" w:rsidR="00E33AF3" w:rsidRPr="00E33AF3" w:rsidRDefault="00E33AF3" w:rsidP="005335D7">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66" w:history="1">
        <w:r w:rsidRPr="00E33AF3">
          <w:rPr>
            <w:rFonts w:ascii="Tenorite" w:eastAsia="Times New Roman" w:hAnsi="Tenorite" w:cs="Times New Roman"/>
            <w:color w:val="0000FF"/>
            <w:sz w:val="20"/>
            <w:szCs w:val="20"/>
            <w:lang w:eastAsia="fr-FR"/>
          </w:rPr>
          <w:t>Règlement</w:t>
        </w:r>
      </w:hyperlink>
      <w:r w:rsidRPr="00E33AF3">
        <w:rPr>
          <w:rFonts w:ascii="Tenorite" w:eastAsia="Times New Roman" w:hAnsi="Tenorite" w:cs="Times New Roman"/>
          <w:color w:val="636363"/>
          <w:sz w:val="20"/>
          <w:szCs w:val="20"/>
          <w:lang w:eastAsia="fr-FR"/>
        </w:rPr>
        <w:t xml:space="preserve"> d’exécution (UE) 2024/2382 de la Commission du 9 septembre 2024 modifiant le règlement d’exécution (UE) 2022/1195 en ce qui concerne le modèle d’enquête sur </w:t>
      </w:r>
      <w:proofErr w:type="spellStart"/>
      <w:r w:rsidRPr="00E33AF3">
        <w:rPr>
          <w:rFonts w:ascii="Tenorite" w:eastAsia="Times New Roman" w:hAnsi="Tenorite" w:cs="Times New Roman"/>
          <w:color w:val="636363"/>
          <w:sz w:val="20"/>
          <w:szCs w:val="20"/>
          <w:lang w:eastAsia="fr-FR"/>
        </w:rPr>
        <w:t>Synchytrium</w:t>
      </w:r>
      <w:proofErr w:type="spellEnd"/>
      <w:r w:rsidRPr="00E33AF3">
        <w:rPr>
          <w:rFonts w:ascii="Tenorite" w:eastAsia="Times New Roman" w:hAnsi="Tenorite" w:cs="Times New Roman"/>
          <w:color w:val="636363"/>
          <w:sz w:val="20"/>
          <w:szCs w:val="20"/>
          <w:lang w:eastAsia="fr-FR"/>
        </w:rPr>
        <w:t xml:space="preserve"> </w:t>
      </w:r>
      <w:proofErr w:type="spellStart"/>
      <w:r w:rsidRPr="00E33AF3">
        <w:rPr>
          <w:rFonts w:ascii="Tenorite" w:eastAsia="Times New Roman" w:hAnsi="Tenorite" w:cs="Times New Roman"/>
          <w:color w:val="636363"/>
          <w:sz w:val="20"/>
          <w:szCs w:val="20"/>
          <w:lang w:eastAsia="fr-FR"/>
        </w:rPr>
        <w:t>endobioticum</w:t>
      </w:r>
      <w:proofErr w:type="spellEnd"/>
      <w:r w:rsidRPr="00E33AF3">
        <w:rPr>
          <w:rFonts w:ascii="Tenorite" w:eastAsia="Times New Roman" w:hAnsi="Tenorite" w:cs="Times New Roman"/>
          <w:color w:val="636363"/>
          <w:sz w:val="20"/>
          <w:szCs w:val="20"/>
          <w:lang w:eastAsia="fr-FR"/>
        </w:rPr>
        <w:t xml:space="preserve"> (</w:t>
      </w:r>
      <w:proofErr w:type="spellStart"/>
      <w:r w:rsidRPr="00E33AF3">
        <w:rPr>
          <w:rFonts w:ascii="Tenorite" w:eastAsia="Times New Roman" w:hAnsi="Tenorite" w:cs="Times New Roman"/>
          <w:color w:val="636363"/>
          <w:sz w:val="20"/>
          <w:szCs w:val="20"/>
          <w:lang w:eastAsia="fr-FR"/>
        </w:rPr>
        <w:t>Schilbersky</w:t>
      </w:r>
      <w:proofErr w:type="spellEnd"/>
      <w:r w:rsidRPr="00E33AF3">
        <w:rPr>
          <w:rFonts w:ascii="Tenorite" w:eastAsia="Times New Roman" w:hAnsi="Tenorite" w:cs="Times New Roman"/>
          <w:color w:val="636363"/>
          <w:sz w:val="20"/>
          <w:szCs w:val="20"/>
          <w:lang w:eastAsia="fr-FR"/>
        </w:rPr>
        <w:t>) Percival, la désignation des sites de production infestés et la révocation des mesures dans les zones infestées (JOUE 09/09/2024)</w:t>
      </w:r>
    </w:p>
    <w:p w14:paraId="7DBFCC90" w14:textId="77777777" w:rsidR="00E33AF3" w:rsidRPr="005F3EA3" w:rsidRDefault="00E33AF3" w:rsidP="005335D7">
      <w:pPr>
        <w:spacing w:after="0" w:line="240" w:lineRule="auto"/>
        <w:ind w:left="426" w:hanging="283"/>
        <w:rPr>
          <w:rFonts w:ascii="Tenorite" w:hAnsi="Tenorite"/>
          <w:color w:val="C45911" w:themeColor="accent2" w:themeShade="BF"/>
          <w:sz w:val="20"/>
        </w:rPr>
      </w:pPr>
    </w:p>
    <w:p w14:paraId="7CCFE82A" w14:textId="77777777" w:rsidR="00D025D4" w:rsidRPr="005F3EA3" w:rsidRDefault="00D025D4" w:rsidP="005335D7">
      <w:pPr>
        <w:shd w:val="clear" w:color="auto" w:fill="D9D9D9" w:themeFill="background1" w:themeFillShade="D9"/>
        <w:spacing w:after="0" w:line="240" w:lineRule="auto"/>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5684F260" w14:textId="77777777" w:rsidR="007C0074" w:rsidRDefault="007C0074" w:rsidP="007C0074">
      <w:pPr>
        <w:spacing w:after="0" w:line="240" w:lineRule="auto"/>
        <w:ind w:left="284" w:hanging="142"/>
        <w:rPr>
          <w:rFonts w:ascii="Tenorite" w:hAnsi="Tenorite"/>
          <w:b/>
          <w:bCs/>
          <w:sz w:val="24"/>
          <w:szCs w:val="28"/>
        </w:rPr>
      </w:pPr>
      <w:r w:rsidRPr="007C0074">
        <w:rPr>
          <w:rFonts w:ascii="Tenorite" w:hAnsi="Tenorite"/>
          <w:b/>
          <w:bCs/>
          <w:sz w:val="24"/>
          <w:szCs w:val="28"/>
        </w:rPr>
        <w:t>/</w:t>
      </w:r>
    </w:p>
    <w:p w14:paraId="25EF1EE4" w14:textId="77777777" w:rsidR="007C0074" w:rsidRDefault="007C0074" w:rsidP="007C0074">
      <w:pPr>
        <w:spacing w:after="0" w:line="240" w:lineRule="auto"/>
        <w:ind w:left="284" w:hanging="142"/>
        <w:rPr>
          <w:rFonts w:ascii="Tenorite" w:hAnsi="Tenorite"/>
          <w:b/>
          <w:bCs/>
          <w:sz w:val="24"/>
          <w:szCs w:val="28"/>
        </w:rPr>
      </w:pPr>
    </w:p>
    <w:p w14:paraId="26369C25" w14:textId="77777777" w:rsidR="007C0074" w:rsidRPr="007C0074" w:rsidRDefault="007C0074" w:rsidP="007C0074">
      <w:pPr>
        <w:spacing w:after="0" w:line="240" w:lineRule="auto"/>
        <w:ind w:left="284" w:hanging="142"/>
        <w:rPr>
          <w:rFonts w:ascii="Tenorite" w:hAnsi="Tenorite"/>
          <w:b/>
          <w:bCs/>
          <w:sz w:val="24"/>
          <w:szCs w:val="28"/>
        </w:rPr>
      </w:pPr>
    </w:p>
    <w:p w14:paraId="14F5C586" w14:textId="77777777" w:rsidR="00D025D4" w:rsidRPr="005F3EA3" w:rsidRDefault="00D025D4" w:rsidP="005335D7">
      <w:pPr>
        <w:shd w:val="clear" w:color="auto" w:fill="D9D9D9" w:themeFill="background1" w:themeFillShade="D9"/>
        <w:spacing w:after="0" w:line="240" w:lineRule="auto"/>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565DC795" w14:textId="77777777" w:rsidR="00361674" w:rsidRPr="00361674" w:rsidRDefault="00361674" w:rsidP="005335D7">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67" w:history="1">
        <w:r w:rsidRPr="00361674">
          <w:rPr>
            <w:rFonts w:ascii="Tenorite" w:eastAsia="Times New Roman" w:hAnsi="Tenorite" w:cs="Times New Roman"/>
            <w:color w:val="0000FF"/>
            <w:sz w:val="20"/>
            <w:szCs w:val="20"/>
            <w:lang w:eastAsia="fr-FR"/>
          </w:rPr>
          <w:t>Règlement</w:t>
        </w:r>
      </w:hyperlink>
      <w:r w:rsidRPr="00361674">
        <w:rPr>
          <w:rFonts w:ascii="Tenorite" w:eastAsia="Times New Roman" w:hAnsi="Tenorite" w:cs="Times New Roman"/>
          <w:color w:val="636363"/>
          <w:sz w:val="20"/>
          <w:szCs w:val="20"/>
          <w:lang w:eastAsia="fr-FR"/>
        </w:rPr>
        <w:t xml:space="preserve"> d’exécution (UE) 2024/2584 de la Commission du 25 septembre 2024 modifiant le règlement (CE) no 1484/95 en ce qui concerne la fixation des prix représentatifs dans les secteurs de la viande de volaille et des œufs ainsi que pour l’ovalbumine (JOUE 27/09/2024)</w:t>
      </w:r>
    </w:p>
    <w:p w14:paraId="33F7367C" w14:textId="77777777" w:rsidR="00361674" w:rsidRDefault="00361674" w:rsidP="005335D7">
      <w:pPr>
        <w:spacing w:after="0" w:line="240" w:lineRule="auto"/>
        <w:ind w:left="426" w:hanging="283"/>
        <w:rPr>
          <w:rFonts w:ascii="Tenorite" w:hAnsi="Tenorite"/>
          <w:color w:val="C45911" w:themeColor="accent2" w:themeShade="BF"/>
          <w:sz w:val="20"/>
          <w:szCs w:val="18"/>
        </w:rPr>
      </w:pPr>
    </w:p>
    <w:p w14:paraId="56430F47" w14:textId="77777777" w:rsidR="00D025D4" w:rsidRPr="005F3EA3" w:rsidRDefault="00D025D4" w:rsidP="005335D7">
      <w:pPr>
        <w:shd w:val="clear" w:color="auto" w:fill="D9D9D9" w:themeFill="background1" w:themeFillShade="D9"/>
        <w:spacing w:after="0" w:line="240" w:lineRule="auto"/>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PRODUITS CEREALIERS</w:t>
      </w:r>
    </w:p>
    <w:p w14:paraId="1810FE40" w14:textId="77777777" w:rsidR="007C0074" w:rsidRDefault="007C0074" w:rsidP="007C0074">
      <w:pPr>
        <w:spacing w:after="0" w:line="240" w:lineRule="auto"/>
        <w:ind w:left="284" w:hanging="142"/>
        <w:rPr>
          <w:rFonts w:ascii="Tenorite" w:hAnsi="Tenorite"/>
          <w:b/>
          <w:bCs/>
          <w:sz w:val="24"/>
          <w:szCs w:val="28"/>
        </w:rPr>
      </w:pPr>
      <w:r w:rsidRPr="007C0074">
        <w:rPr>
          <w:rFonts w:ascii="Tenorite" w:hAnsi="Tenorite"/>
          <w:b/>
          <w:bCs/>
          <w:sz w:val="24"/>
          <w:szCs w:val="28"/>
        </w:rPr>
        <w:t>/</w:t>
      </w:r>
    </w:p>
    <w:p w14:paraId="37D8362D" w14:textId="77777777" w:rsidR="007C0074" w:rsidRPr="007C0074" w:rsidRDefault="007C0074" w:rsidP="007C0074">
      <w:pPr>
        <w:spacing w:after="0" w:line="240" w:lineRule="auto"/>
        <w:ind w:left="284" w:hanging="142"/>
        <w:rPr>
          <w:rFonts w:ascii="Tenorite" w:hAnsi="Tenorite"/>
          <w:b/>
          <w:bCs/>
          <w:sz w:val="24"/>
          <w:szCs w:val="28"/>
        </w:rPr>
      </w:pPr>
    </w:p>
    <w:p w14:paraId="5B9F02A9" w14:textId="77777777" w:rsidR="00D025D4" w:rsidRPr="005F3EA3" w:rsidRDefault="00D025D4" w:rsidP="005335D7">
      <w:pPr>
        <w:shd w:val="clear" w:color="auto" w:fill="D9D9D9" w:themeFill="background1" w:themeFillShade="D9"/>
        <w:spacing w:after="0" w:line="240" w:lineRule="auto"/>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77EF2205" w14:textId="2B148D84" w:rsidR="00D025D4" w:rsidRDefault="00D025D4" w:rsidP="005335D7">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Miel</w:t>
      </w:r>
    </w:p>
    <w:p w14:paraId="79CC9C20" w14:textId="398E7162" w:rsidR="00E33AF3" w:rsidRDefault="00E33AF3" w:rsidP="007C0074">
      <w:pPr>
        <w:spacing w:after="0" w:line="240" w:lineRule="auto"/>
        <w:ind w:left="142"/>
        <w:rPr>
          <w:rFonts w:ascii="Tenorite" w:eastAsia="Calibri" w:hAnsi="Tenorite" w:cs="Calibri"/>
          <w:sz w:val="20"/>
          <w:szCs w:val="20"/>
        </w:rPr>
      </w:pPr>
      <w:hyperlink r:id="rId68" w:history="1">
        <w:r w:rsidRPr="00E33AF3">
          <w:rPr>
            <w:rFonts w:ascii="Tenorite" w:eastAsia="Calibri" w:hAnsi="Tenorite" w:cs="Calibri"/>
            <w:b/>
            <w:bCs/>
            <w:color w:val="0000FF"/>
            <w:sz w:val="20"/>
            <w:szCs w:val="20"/>
          </w:rPr>
          <w:t>Décision</w:t>
        </w:r>
      </w:hyperlink>
      <w:r w:rsidRPr="00E33AF3">
        <w:rPr>
          <w:rFonts w:ascii="Tenorite" w:eastAsia="Calibri" w:hAnsi="Tenorite" w:cs="Calibri"/>
          <w:sz w:val="20"/>
          <w:szCs w:val="20"/>
        </w:rPr>
        <w:t> du 11-09-2024 de la directrice générale de FranceAgriMer n° INTV-GECRI-2024-88 du 11 septembre 2024 portant modification de la décision INTV-GECRI-2024-44 relatives aux modalités de mise en œuvre par FranceAgriMer d’un dispositif exceptionnel de prise en charge d’une partie des pertes économiques des exploitations apicoles engendrées par les conséquences de l’agression de l’Ukraine par la Russie (FranceAgriMer)</w:t>
      </w:r>
    </w:p>
    <w:p w14:paraId="1DA1B2C2" w14:textId="77777777" w:rsidR="007C0074" w:rsidRPr="005F3EA3" w:rsidRDefault="007C0074" w:rsidP="005335D7">
      <w:pPr>
        <w:spacing w:after="0" w:line="240" w:lineRule="auto"/>
        <w:ind w:left="426" w:hanging="283"/>
        <w:rPr>
          <w:rFonts w:ascii="Tenorite" w:hAnsi="Tenorite"/>
          <w:color w:val="C45911" w:themeColor="accent2" w:themeShade="BF"/>
          <w:sz w:val="20"/>
          <w:szCs w:val="18"/>
        </w:rPr>
      </w:pPr>
    </w:p>
    <w:p w14:paraId="12B01DA5" w14:textId="77777777" w:rsidR="00D025D4" w:rsidRPr="005F3EA3" w:rsidRDefault="00D025D4" w:rsidP="005335D7">
      <w:pPr>
        <w:shd w:val="clear" w:color="auto" w:fill="D9D9D9" w:themeFill="background1" w:themeFillShade="D9"/>
        <w:spacing w:after="0" w:line="240" w:lineRule="auto"/>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5A6AFA5A" w14:textId="62EDBD95" w:rsidR="00D025D4" w:rsidRDefault="00D025D4" w:rsidP="005335D7">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Ovins</w:t>
      </w:r>
      <w:r w:rsidR="00361674">
        <w:rPr>
          <w:rFonts w:ascii="Tenorite" w:hAnsi="Tenorite"/>
          <w:color w:val="C45911" w:themeColor="accent2" w:themeShade="BF"/>
          <w:sz w:val="20"/>
          <w:szCs w:val="18"/>
        </w:rPr>
        <w:t xml:space="preserve"> -caprins</w:t>
      </w:r>
    </w:p>
    <w:p w14:paraId="1AA2D4E3"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hyperlink r:id="rId69" w:history="1">
        <w:r w:rsidRPr="00361674">
          <w:rPr>
            <w:rFonts w:ascii="Tenorite" w:eastAsia="Calibri" w:hAnsi="Tenorite" w:cs="Calibri"/>
            <w:color w:val="0000FF"/>
            <w:sz w:val="20"/>
            <w:szCs w:val="20"/>
          </w:rPr>
          <w:t>Décision</w:t>
        </w:r>
      </w:hyperlink>
      <w:r w:rsidRPr="00361674">
        <w:rPr>
          <w:rFonts w:ascii="Tenorite" w:eastAsia="Calibri" w:hAnsi="Tenorite" w:cs="Calibri"/>
          <w:sz w:val="20"/>
          <w:szCs w:val="20"/>
        </w:rPr>
        <w:t xml:space="preserve"> d’exécution (UE) 2024/2498 de la Commission du 19 septembre 2024 modifiant la décision d’exécution (UE) 2024/2207 concernant certaines mesures d’urgence relatives à la clavelée et à la variole caprine en Grèce (JOUE 24/09/2024)</w:t>
      </w:r>
    </w:p>
    <w:p w14:paraId="0946A6D3"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p>
    <w:p w14:paraId="73CDCA53"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hyperlink r:id="rId70" w:history="1">
        <w:r w:rsidRPr="00361674">
          <w:rPr>
            <w:rFonts w:ascii="Tenorite" w:eastAsia="Calibri" w:hAnsi="Tenorite" w:cs="Calibri"/>
            <w:color w:val="0000FF"/>
            <w:sz w:val="20"/>
            <w:szCs w:val="20"/>
          </w:rPr>
          <w:t>Décision</w:t>
        </w:r>
      </w:hyperlink>
      <w:r w:rsidRPr="00361674">
        <w:rPr>
          <w:rFonts w:ascii="Tenorite" w:eastAsia="Calibri" w:hAnsi="Tenorite" w:cs="Calibri"/>
          <w:sz w:val="20"/>
          <w:szCs w:val="20"/>
        </w:rPr>
        <w:t xml:space="preserve"> d’exécution (UE) 2024/2501 de la Commission du 19 septembre 2024 modifiant la décision d’exécution (UE) 2024/2132 concernant certaines mesures d’urgence relatives à l’infection par le virus de la peste des petits ruminants en Grèce (JOUE 24/09/2024)</w:t>
      </w:r>
    </w:p>
    <w:p w14:paraId="598BE197"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p>
    <w:p w14:paraId="38D7C565"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hyperlink r:id="rId71" w:history="1">
        <w:r w:rsidRPr="00361674">
          <w:rPr>
            <w:rFonts w:ascii="Tenorite" w:eastAsia="Calibri" w:hAnsi="Tenorite" w:cs="Calibri"/>
            <w:color w:val="0000FF"/>
            <w:sz w:val="20"/>
            <w:szCs w:val="20"/>
          </w:rPr>
          <w:t>Décision</w:t>
        </w:r>
      </w:hyperlink>
      <w:r w:rsidRPr="00361674">
        <w:rPr>
          <w:rFonts w:ascii="Tenorite" w:eastAsia="Calibri" w:hAnsi="Tenorite" w:cs="Calibri"/>
          <w:sz w:val="20"/>
          <w:szCs w:val="20"/>
        </w:rPr>
        <w:t xml:space="preserve"> d’exécution (UE) 2024/2523 de la Commission du 23 septembre 2024 modifiant la décision d’exécution (UE) 2024/2119 concernant certaines mesures d’urgence relatives à l’infection par le virus de la peste des petits ruminants en Roumanie (JOUE 25/09/2024)</w:t>
      </w:r>
    </w:p>
    <w:p w14:paraId="3661D863"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p>
    <w:p w14:paraId="7F131894" w14:textId="0E054A7F" w:rsidR="00361674" w:rsidRDefault="00361674" w:rsidP="005335D7">
      <w:pPr>
        <w:shd w:val="clear" w:color="auto" w:fill="FFFFFF"/>
        <w:spacing w:after="0" w:line="240" w:lineRule="auto"/>
        <w:ind w:left="142"/>
        <w:jc w:val="both"/>
        <w:rPr>
          <w:rFonts w:ascii="Tenorite" w:eastAsia="Calibri" w:hAnsi="Tenorite" w:cs="Calibri"/>
          <w:sz w:val="20"/>
          <w:szCs w:val="20"/>
        </w:rPr>
      </w:pPr>
      <w:hyperlink r:id="rId72" w:history="1">
        <w:r w:rsidRPr="00361674">
          <w:rPr>
            <w:rFonts w:ascii="Tenorite" w:eastAsia="Calibri" w:hAnsi="Tenorite" w:cs="Calibri"/>
            <w:color w:val="0000FF"/>
            <w:sz w:val="20"/>
            <w:szCs w:val="20"/>
          </w:rPr>
          <w:t>Décision</w:t>
        </w:r>
      </w:hyperlink>
      <w:r w:rsidRPr="00361674">
        <w:rPr>
          <w:rFonts w:ascii="Tenorite" w:eastAsia="Calibri" w:hAnsi="Tenorite" w:cs="Calibri"/>
          <w:sz w:val="20"/>
          <w:szCs w:val="20"/>
        </w:rPr>
        <w:t> du 20-09-2024 - Décision du 20 septembre 2024 Décision du 20 septembre 2024 définissant la nouvelle zone vaccinale contre la fièvre catarrhale ovine sur le territoire métropolitain (DGAL)</w:t>
      </w:r>
    </w:p>
    <w:p w14:paraId="4A44EC92" w14:textId="77777777" w:rsidR="00361674" w:rsidRDefault="00361674" w:rsidP="005335D7">
      <w:pPr>
        <w:shd w:val="clear" w:color="auto" w:fill="FFFFFF"/>
        <w:spacing w:after="0" w:line="240" w:lineRule="auto"/>
        <w:ind w:left="142"/>
        <w:jc w:val="both"/>
        <w:rPr>
          <w:rFonts w:ascii="Tenorite" w:hAnsi="Tenorite"/>
          <w:color w:val="C45911" w:themeColor="accent2" w:themeShade="BF"/>
          <w:sz w:val="20"/>
          <w:szCs w:val="18"/>
        </w:rPr>
      </w:pPr>
    </w:p>
    <w:p w14:paraId="040BD88E"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hyperlink r:id="rId73" w:history="1">
        <w:r w:rsidRPr="00361674">
          <w:rPr>
            <w:rFonts w:ascii="Tenorite" w:eastAsia="Calibri" w:hAnsi="Tenorite" w:cs="Calibri"/>
            <w:b/>
            <w:bCs/>
            <w:sz w:val="20"/>
            <w:szCs w:val="20"/>
          </w:rPr>
          <w:t>Décision</w:t>
        </w:r>
      </w:hyperlink>
      <w:r w:rsidRPr="00361674">
        <w:rPr>
          <w:rFonts w:ascii="Tenorite" w:eastAsia="Calibri" w:hAnsi="Tenorite" w:cs="Calibri"/>
          <w:b/>
          <w:bCs/>
          <w:sz w:val="20"/>
          <w:szCs w:val="20"/>
        </w:rPr>
        <w:t> </w:t>
      </w:r>
      <w:r w:rsidRPr="00361674">
        <w:rPr>
          <w:rFonts w:ascii="Tenorite" w:eastAsia="Calibri" w:hAnsi="Tenorite" w:cs="Calibri"/>
          <w:sz w:val="20"/>
          <w:szCs w:val="20"/>
        </w:rPr>
        <w:t>du 05-09-2024 - Décision du 5 septembre 2024 définissant la nouvelle zone vaccinale FCO (DGAL)</w:t>
      </w:r>
    </w:p>
    <w:p w14:paraId="377F1229"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p>
    <w:p w14:paraId="235E2F19"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hyperlink r:id="rId74" w:history="1">
        <w:r w:rsidRPr="00361674">
          <w:rPr>
            <w:rFonts w:ascii="Tenorite" w:eastAsia="Calibri" w:hAnsi="Tenorite" w:cs="Calibri"/>
            <w:color w:val="0000FF"/>
            <w:sz w:val="20"/>
            <w:szCs w:val="20"/>
          </w:rPr>
          <w:t>Décision</w:t>
        </w:r>
      </w:hyperlink>
      <w:r w:rsidRPr="00361674">
        <w:rPr>
          <w:rFonts w:ascii="Tenorite" w:eastAsia="Calibri" w:hAnsi="Tenorite" w:cs="Calibri"/>
          <w:sz w:val="20"/>
          <w:szCs w:val="20"/>
        </w:rPr>
        <w:t xml:space="preserve"> d’exécution (UE) 2024/2466 de la Commission du 11 septembre 2024 concernant certaines mesures d’urgence provisoires relatives à la clavelée et à la variole caprine en Bulgarie (JOUE 12/09/2024)</w:t>
      </w:r>
    </w:p>
    <w:p w14:paraId="0B9F9460" w14:textId="77777777" w:rsidR="00361674" w:rsidRPr="005F3EA3" w:rsidRDefault="00361674" w:rsidP="005335D7">
      <w:pPr>
        <w:spacing w:after="0" w:line="240" w:lineRule="auto"/>
        <w:ind w:left="426" w:hanging="283"/>
        <w:rPr>
          <w:rFonts w:ascii="Tenorite" w:hAnsi="Tenorite"/>
          <w:color w:val="C45911" w:themeColor="accent2" w:themeShade="BF"/>
          <w:sz w:val="20"/>
          <w:szCs w:val="18"/>
        </w:rPr>
      </w:pPr>
    </w:p>
    <w:p w14:paraId="2F5DD886" w14:textId="77777777" w:rsidR="00BF1263" w:rsidRDefault="00BF1263" w:rsidP="005335D7">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Porcins</w:t>
      </w:r>
    </w:p>
    <w:p w14:paraId="3C7A0A54" w14:textId="77777777" w:rsidR="00361674" w:rsidRPr="00361674" w:rsidRDefault="00361674" w:rsidP="005335D7">
      <w:pPr>
        <w:shd w:val="clear" w:color="auto" w:fill="FFFFFF"/>
        <w:spacing w:after="0" w:line="240" w:lineRule="auto"/>
        <w:ind w:left="142"/>
        <w:jc w:val="both"/>
        <w:rPr>
          <w:rFonts w:ascii="Tenorite" w:eastAsia="Times New Roman" w:hAnsi="Tenorite" w:cs="Times New Roman"/>
          <w:b/>
          <w:bCs/>
          <w:sz w:val="20"/>
          <w:szCs w:val="20"/>
          <w:lang w:eastAsia="fr-FR"/>
        </w:rPr>
      </w:pPr>
      <w:r w:rsidRPr="00361674">
        <w:rPr>
          <w:rFonts w:ascii="Tenorite" w:eastAsia="Times New Roman" w:hAnsi="Tenorite" w:cs="Times New Roman"/>
          <w:b/>
          <w:bCs/>
          <w:color w:val="636363"/>
          <w:sz w:val="20"/>
          <w:szCs w:val="20"/>
          <w:lang w:eastAsia="fr-FR"/>
        </w:rPr>
        <w:t>Instruction technique </w:t>
      </w:r>
      <w:hyperlink r:id="rId75" w:history="1">
        <w:r w:rsidRPr="00361674">
          <w:rPr>
            <w:rFonts w:ascii="Tenorite" w:eastAsia="Times New Roman" w:hAnsi="Tenorite" w:cs="Times New Roman"/>
            <w:color w:val="0088CC"/>
            <w:sz w:val="20"/>
            <w:szCs w:val="20"/>
            <w:u w:val="single"/>
            <w:lang w:eastAsia="fr-FR"/>
          </w:rPr>
          <w:t>DGAL/SDSBEA/2024-538</w:t>
        </w:r>
      </w:hyperlink>
      <w:r w:rsidRPr="00361674">
        <w:rPr>
          <w:rFonts w:ascii="Tenorite" w:eastAsia="Times New Roman" w:hAnsi="Tenorite" w:cs="Times New Roman"/>
          <w:color w:val="636363"/>
          <w:sz w:val="20"/>
          <w:szCs w:val="20"/>
          <w:lang w:eastAsia="fr-FR"/>
        </w:rPr>
        <w:t> </w:t>
      </w:r>
      <w:r w:rsidRPr="00361674">
        <w:rPr>
          <w:rFonts w:ascii="Tenorite" w:eastAsia="Times New Roman" w:hAnsi="Tenorite" w:cs="Times New Roman"/>
          <w:sz w:val="20"/>
          <w:szCs w:val="20"/>
          <w:lang w:eastAsia="fr-FR"/>
        </w:rPr>
        <w:t>du 26-09-2024 - Peste porcine africaine / Peste porcine classique – Niveaux de surveillance dans la faune sauvage (DGAL)</w:t>
      </w:r>
    </w:p>
    <w:p w14:paraId="30EAFA44"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p>
    <w:p w14:paraId="418FD845"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hyperlink r:id="rId76" w:history="1">
        <w:r w:rsidRPr="00361674">
          <w:rPr>
            <w:rFonts w:ascii="Tenorite" w:eastAsia="Calibri" w:hAnsi="Tenorite" w:cs="Calibri"/>
            <w:color w:val="0000FF"/>
            <w:sz w:val="20"/>
            <w:szCs w:val="20"/>
          </w:rPr>
          <w:t>Règlement</w:t>
        </w:r>
      </w:hyperlink>
      <w:r w:rsidRPr="00361674">
        <w:rPr>
          <w:rFonts w:ascii="Tenorite" w:eastAsia="Calibri" w:hAnsi="Tenorite" w:cs="Calibri"/>
          <w:sz w:val="20"/>
          <w:szCs w:val="20"/>
        </w:rPr>
        <w:t xml:space="preserve"> d’exécution (UE) 2024/2425 de la Commission du 9 septembre 2024 modifiant l’annexe I du règlement d’exécution (UE) 2023/594 établissant des mesures spéciales de lutte contre la peste porcine africaine (JOUE 10/09/2024)</w:t>
      </w:r>
    </w:p>
    <w:p w14:paraId="4668B98A"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p>
    <w:p w14:paraId="3AA2C13E"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p>
    <w:p w14:paraId="10DC46C3"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hyperlink r:id="rId77" w:history="1">
        <w:r w:rsidRPr="00361674">
          <w:rPr>
            <w:rFonts w:ascii="Tenorite" w:eastAsia="Calibri" w:hAnsi="Tenorite" w:cs="Calibri"/>
            <w:color w:val="0000FF"/>
            <w:sz w:val="20"/>
            <w:szCs w:val="20"/>
          </w:rPr>
          <w:t>Règlement</w:t>
        </w:r>
      </w:hyperlink>
      <w:r w:rsidRPr="00361674">
        <w:rPr>
          <w:rFonts w:ascii="Tenorite" w:eastAsia="Calibri" w:hAnsi="Tenorite" w:cs="Calibri"/>
          <w:sz w:val="20"/>
          <w:szCs w:val="20"/>
        </w:rPr>
        <w:t xml:space="preserve"> d’exécution (UE) 2024/2491 de la Commission du 16 septembre 2024 modifiant l’annexe I du règlement d’exécution (UE) 2023/594 établissant des mesures spéciales de lutte contre la peste porcine africaine (JOUE 18/09/2024)</w:t>
      </w:r>
    </w:p>
    <w:p w14:paraId="6D935525"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p>
    <w:p w14:paraId="48365005"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hyperlink r:id="rId78" w:history="1">
        <w:r w:rsidRPr="00361674">
          <w:rPr>
            <w:rFonts w:ascii="Tenorite" w:eastAsia="Calibri" w:hAnsi="Tenorite" w:cs="Calibri"/>
            <w:color w:val="0000FF"/>
            <w:sz w:val="20"/>
            <w:szCs w:val="20"/>
          </w:rPr>
          <w:t>Règlement</w:t>
        </w:r>
      </w:hyperlink>
      <w:r w:rsidRPr="00361674">
        <w:rPr>
          <w:rFonts w:ascii="Tenorite" w:eastAsia="Calibri" w:hAnsi="Tenorite" w:cs="Calibri"/>
          <w:sz w:val="20"/>
          <w:szCs w:val="20"/>
        </w:rPr>
        <w:t xml:space="preserve"> d’exécution (UE) 2024/2526 de la Commission du 23 septembre 2024 modifiant les annexe I et II du règlement d’exécution (UE) 2023/594 établissant des mesures spéciales de lutte contre la peste porcine africaine (JOUE 24/09/2024)</w:t>
      </w:r>
    </w:p>
    <w:p w14:paraId="1F41DAF7" w14:textId="77777777" w:rsidR="00361674" w:rsidRPr="005F3EA3" w:rsidRDefault="00361674" w:rsidP="005335D7">
      <w:pPr>
        <w:spacing w:after="0" w:line="240" w:lineRule="auto"/>
        <w:ind w:left="426" w:hanging="283"/>
        <w:rPr>
          <w:rFonts w:ascii="Tenorite" w:hAnsi="Tenorite"/>
          <w:color w:val="C45911" w:themeColor="accent2" w:themeShade="BF"/>
          <w:sz w:val="20"/>
          <w:szCs w:val="18"/>
        </w:rPr>
      </w:pPr>
    </w:p>
    <w:p w14:paraId="6B3330FD" w14:textId="77777777" w:rsidR="007C0074" w:rsidRDefault="007C0074" w:rsidP="005335D7">
      <w:pPr>
        <w:spacing w:after="0" w:line="240" w:lineRule="auto"/>
        <w:ind w:left="426" w:hanging="283"/>
        <w:rPr>
          <w:rFonts w:ascii="Tenorite" w:hAnsi="Tenorite"/>
          <w:color w:val="C45911" w:themeColor="accent2" w:themeShade="BF"/>
          <w:sz w:val="20"/>
          <w:szCs w:val="18"/>
        </w:rPr>
      </w:pPr>
    </w:p>
    <w:p w14:paraId="55133B6A" w14:textId="2E32BAC0" w:rsidR="00D025D4" w:rsidRDefault="00D025D4" w:rsidP="005335D7">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 xml:space="preserve">Volailles </w:t>
      </w:r>
    </w:p>
    <w:p w14:paraId="59447E75" w14:textId="77777777" w:rsidR="00361674" w:rsidRPr="00361674" w:rsidRDefault="00361674" w:rsidP="005335D7">
      <w:pPr>
        <w:shd w:val="clear" w:color="auto" w:fill="FFFFFF"/>
        <w:spacing w:after="0" w:line="240" w:lineRule="auto"/>
        <w:ind w:left="142"/>
        <w:jc w:val="both"/>
        <w:rPr>
          <w:rFonts w:ascii="Tenorite" w:eastAsia="Times New Roman" w:hAnsi="Tenorite" w:cs="Times New Roman"/>
          <w:sz w:val="20"/>
          <w:szCs w:val="20"/>
          <w:lang w:eastAsia="fr-FR"/>
        </w:rPr>
      </w:pPr>
      <w:r w:rsidRPr="00361674">
        <w:rPr>
          <w:rFonts w:ascii="Tenorite" w:eastAsia="Times New Roman" w:hAnsi="Tenorite" w:cs="Times New Roman"/>
          <w:b/>
          <w:bCs/>
          <w:sz w:val="20"/>
          <w:szCs w:val="20"/>
          <w:lang w:eastAsia="fr-FR"/>
        </w:rPr>
        <w:t>Instruction technique </w:t>
      </w:r>
      <w:hyperlink r:id="rId79" w:history="1">
        <w:r w:rsidRPr="00361674">
          <w:rPr>
            <w:rFonts w:ascii="Tenorite" w:eastAsia="Times New Roman" w:hAnsi="Tenorite" w:cs="Times New Roman"/>
            <w:sz w:val="20"/>
            <w:szCs w:val="20"/>
            <w:u w:val="single"/>
            <w:lang w:eastAsia="fr-FR"/>
          </w:rPr>
          <w:t>DGAL/SDSSA/2024-497</w:t>
        </w:r>
      </w:hyperlink>
      <w:r w:rsidRPr="00361674">
        <w:rPr>
          <w:rFonts w:ascii="Tenorite" w:eastAsia="Times New Roman" w:hAnsi="Tenorite" w:cs="Times New Roman"/>
          <w:sz w:val="20"/>
          <w:szCs w:val="20"/>
          <w:lang w:eastAsia="fr-FR"/>
        </w:rPr>
        <w:t xml:space="preserve"> du 04-09-2024 - Conduite à tenir dans les établissements d’abattage de volailles lors de l’abattage de troupeaux des espèces Gallus </w:t>
      </w:r>
      <w:proofErr w:type="spellStart"/>
      <w:r w:rsidRPr="00361674">
        <w:rPr>
          <w:rFonts w:ascii="Tenorite" w:eastAsia="Times New Roman" w:hAnsi="Tenorite" w:cs="Times New Roman"/>
          <w:sz w:val="20"/>
          <w:szCs w:val="20"/>
          <w:lang w:eastAsia="fr-FR"/>
        </w:rPr>
        <w:t>gallus</w:t>
      </w:r>
      <w:proofErr w:type="spellEnd"/>
      <w:r w:rsidRPr="00361674">
        <w:rPr>
          <w:rFonts w:ascii="Tenorite" w:eastAsia="Times New Roman" w:hAnsi="Tenorite" w:cs="Times New Roman"/>
          <w:sz w:val="20"/>
          <w:szCs w:val="20"/>
          <w:lang w:eastAsia="fr-FR"/>
        </w:rPr>
        <w:t xml:space="preserve"> ou </w:t>
      </w:r>
      <w:proofErr w:type="spellStart"/>
      <w:r w:rsidRPr="00361674">
        <w:rPr>
          <w:rFonts w:ascii="Tenorite" w:eastAsia="Times New Roman" w:hAnsi="Tenorite" w:cs="Times New Roman"/>
          <w:sz w:val="20"/>
          <w:szCs w:val="20"/>
          <w:lang w:eastAsia="fr-FR"/>
        </w:rPr>
        <w:t>Meleagris</w:t>
      </w:r>
      <w:proofErr w:type="spellEnd"/>
      <w:r w:rsidRPr="00361674">
        <w:rPr>
          <w:rFonts w:ascii="Tenorite" w:eastAsia="Times New Roman" w:hAnsi="Tenorite" w:cs="Times New Roman"/>
          <w:sz w:val="20"/>
          <w:szCs w:val="20"/>
          <w:lang w:eastAsia="fr-FR"/>
        </w:rPr>
        <w:t xml:space="preserve"> </w:t>
      </w:r>
      <w:proofErr w:type="spellStart"/>
      <w:r w:rsidRPr="00361674">
        <w:rPr>
          <w:rFonts w:ascii="Tenorite" w:eastAsia="Times New Roman" w:hAnsi="Tenorite" w:cs="Times New Roman"/>
          <w:sz w:val="20"/>
          <w:szCs w:val="20"/>
          <w:lang w:eastAsia="fr-FR"/>
        </w:rPr>
        <w:t>gallopavo</w:t>
      </w:r>
      <w:proofErr w:type="spellEnd"/>
      <w:r w:rsidRPr="00361674">
        <w:rPr>
          <w:rFonts w:ascii="Tenorite" w:eastAsia="Times New Roman" w:hAnsi="Tenorite" w:cs="Times New Roman"/>
          <w:sz w:val="20"/>
          <w:szCs w:val="20"/>
          <w:lang w:eastAsia="fr-FR"/>
        </w:rPr>
        <w:t xml:space="preserve"> déclarés infectés ou suspects d’infection par </w:t>
      </w:r>
      <w:r w:rsidRPr="00361674">
        <w:rPr>
          <w:rFonts w:ascii="Tenorite" w:eastAsia="Times New Roman" w:hAnsi="Tenorite" w:cs="Times New Roman"/>
          <w:b/>
          <w:bCs/>
          <w:sz w:val="20"/>
          <w:szCs w:val="20"/>
          <w:lang w:eastAsia="fr-FR"/>
        </w:rPr>
        <w:t>Salmonella</w:t>
      </w:r>
      <w:r w:rsidRPr="00361674">
        <w:rPr>
          <w:rFonts w:ascii="Tenorite" w:eastAsia="Times New Roman" w:hAnsi="Tenorite" w:cs="Times New Roman"/>
          <w:sz w:val="20"/>
          <w:szCs w:val="20"/>
          <w:lang w:eastAsia="fr-FR"/>
        </w:rPr>
        <w:t xml:space="preserve"> suite aux analyses réalisées en élevage. (DGAL)</w:t>
      </w:r>
    </w:p>
    <w:p w14:paraId="33B446B1" w14:textId="77777777" w:rsidR="00361674" w:rsidRPr="00361674" w:rsidRDefault="00361674" w:rsidP="005335D7">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3CF2A17"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hyperlink r:id="rId80" w:history="1">
        <w:r w:rsidRPr="00361674">
          <w:rPr>
            <w:rFonts w:ascii="Tenorite" w:eastAsia="Calibri" w:hAnsi="Tenorite" w:cs="Calibri"/>
            <w:color w:val="0000FF"/>
            <w:sz w:val="20"/>
            <w:szCs w:val="20"/>
          </w:rPr>
          <w:t>Décision</w:t>
        </w:r>
      </w:hyperlink>
      <w:r w:rsidRPr="00361674">
        <w:rPr>
          <w:rFonts w:ascii="Tenorite" w:eastAsia="Calibri" w:hAnsi="Tenorite" w:cs="Calibri"/>
          <w:sz w:val="20"/>
          <w:szCs w:val="20"/>
        </w:rPr>
        <w:t xml:space="preserve"> d’exécution (UE) 2024/2529 de la Commission du 23 septembre 2024 modifiant l’annexe de la décision d’exécution (UE) 2023/2447 concernant des mesures d’urgence motivées par l’apparition de foyers d’influenza aviaire hautement pathogène dans certains États membres (JOUE 26/09/2024)</w:t>
      </w:r>
    </w:p>
    <w:p w14:paraId="0EAA0CFF"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p>
    <w:p w14:paraId="0D5B1BD5"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hyperlink r:id="rId81" w:history="1">
        <w:r w:rsidRPr="00361674">
          <w:rPr>
            <w:rFonts w:ascii="Tenorite" w:eastAsia="Calibri" w:hAnsi="Tenorite" w:cs="Calibri"/>
            <w:color w:val="0000FF"/>
            <w:sz w:val="20"/>
            <w:szCs w:val="20"/>
          </w:rPr>
          <w:t>Décision</w:t>
        </w:r>
      </w:hyperlink>
      <w:r w:rsidRPr="00361674">
        <w:rPr>
          <w:rFonts w:ascii="Tenorite" w:eastAsia="Calibri" w:hAnsi="Tenorite" w:cs="Calibri"/>
          <w:sz w:val="20"/>
          <w:szCs w:val="20"/>
        </w:rPr>
        <w:t xml:space="preserve"> d’exécution (UE) 2024/2475 de la Commission du 12 septembre 2024 modifiant l’annexe de la décision d’exécution (UE) 2023/2447 concernant des mesures d’urgence motivées par l’apparition de foyers d’influenza aviaire hautement pathogène dans certains États membres (JOUE 16/09/2024)</w:t>
      </w:r>
    </w:p>
    <w:p w14:paraId="554DD88C"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p>
    <w:p w14:paraId="62F88286"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hyperlink r:id="rId82" w:history="1">
        <w:r w:rsidRPr="00361674">
          <w:rPr>
            <w:rFonts w:ascii="Tenorite" w:eastAsia="Calibri" w:hAnsi="Tenorite" w:cs="Calibri"/>
            <w:color w:val="0000FF"/>
            <w:sz w:val="20"/>
            <w:szCs w:val="20"/>
          </w:rPr>
          <w:t>Décision</w:t>
        </w:r>
      </w:hyperlink>
      <w:r w:rsidRPr="00361674">
        <w:rPr>
          <w:rFonts w:ascii="Tenorite" w:eastAsia="Calibri" w:hAnsi="Tenorite" w:cs="Calibri"/>
          <w:sz w:val="20"/>
          <w:szCs w:val="20"/>
        </w:rPr>
        <w:t xml:space="preserve"> d’exécution (UE) 2024/2191 de la Commission du 27 août 2024 modifiant l’annexe de la décision d’exécution (UE) 2023/2447 concernant des mesures d’urgence motivées par l’apparition de foyers d’influenza aviaire hautement pathogène dans certains États membres (JOUE 02/09/2024)</w:t>
      </w:r>
    </w:p>
    <w:p w14:paraId="4D18A875" w14:textId="77777777" w:rsidR="007C0074" w:rsidRPr="00361674" w:rsidRDefault="007C0074" w:rsidP="005335D7">
      <w:pPr>
        <w:shd w:val="clear" w:color="auto" w:fill="FFFFFF"/>
        <w:spacing w:after="0" w:line="240" w:lineRule="auto"/>
        <w:ind w:left="142"/>
        <w:jc w:val="both"/>
        <w:rPr>
          <w:rFonts w:ascii="Tenorite" w:eastAsia="Calibri" w:hAnsi="Tenorite" w:cs="Calibri"/>
          <w:sz w:val="20"/>
          <w:szCs w:val="20"/>
        </w:rPr>
      </w:pPr>
    </w:p>
    <w:p w14:paraId="72B442E4"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hyperlink r:id="rId83" w:history="1">
        <w:r w:rsidRPr="00361674">
          <w:rPr>
            <w:rFonts w:ascii="Tenorite" w:eastAsia="Calibri" w:hAnsi="Tenorite" w:cs="Calibri"/>
            <w:color w:val="0000FF"/>
            <w:sz w:val="20"/>
            <w:szCs w:val="20"/>
          </w:rPr>
          <w:t>Décision</w:t>
        </w:r>
      </w:hyperlink>
      <w:r w:rsidRPr="00361674">
        <w:rPr>
          <w:rFonts w:ascii="Tenorite" w:eastAsia="Calibri" w:hAnsi="Tenorite" w:cs="Calibri"/>
          <w:sz w:val="20"/>
          <w:szCs w:val="20"/>
        </w:rPr>
        <w:t xml:space="preserve"> d’exécution (UE) 2024/2214 de la Commission du 30 août 2024 modifiant l’annexe de la décision d’exécution (UE) 2023/2447 concernant des mesures d’urgence motivées par l’apparition de foyers d’influenza aviaire hautement pathogène dans certains États membres (JOUE 02/09/2024)</w:t>
      </w:r>
    </w:p>
    <w:p w14:paraId="068BDBF4"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p>
    <w:p w14:paraId="133CD237" w14:textId="77777777" w:rsidR="00361674" w:rsidRPr="00361674" w:rsidRDefault="00361674" w:rsidP="005335D7">
      <w:pPr>
        <w:shd w:val="clear" w:color="auto" w:fill="FFFFFF"/>
        <w:spacing w:after="0" w:line="240" w:lineRule="auto"/>
        <w:ind w:left="142"/>
        <w:jc w:val="both"/>
        <w:rPr>
          <w:rFonts w:ascii="Tenorite" w:eastAsia="Times New Roman" w:hAnsi="Tenorite" w:cs="Times New Roman"/>
          <w:sz w:val="20"/>
          <w:szCs w:val="20"/>
          <w:lang w:eastAsia="fr-FR"/>
        </w:rPr>
      </w:pPr>
      <w:r w:rsidRPr="00361674">
        <w:rPr>
          <w:rFonts w:ascii="Tenorite" w:eastAsia="Times New Roman" w:hAnsi="Tenorite" w:cs="Times New Roman"/>
          <w:b/>
          <w:bCs/>
          <w:sz w:val="20"/>
          <w:szCs w:val="20"/>
          <w:lang w:eastAsia="fr-FR"/>
        </w:rPr>
        <w:t>Instruction technique </w:t>
      </w:r>
      <w:hyperlink r:id="rId84" w:history="1">
        <w:r w:rsidRPr="00361674">
          <w:rPr>
            <w:rFonts w:ascii="Tenorite" w:eastAsia="Times New Roman" w:hAnsi="Tenorite" w:cs="Times New Roman"/>
            <w:sz w:val="20"/>
            <w:szCs w:val="20"/>
            <w:u w:val="single"/>
            <w:lang w:eastAsia="fr-FR"/>
          </w:rPr>
          <w:t>DGAL/SDSBEA/2024-546</w:t>
        </w:r>
      </w:hyperlink>
      <w:r w:rsidRPr="00361674">
        <w:rPr>
          <w:rFonts w:ascii="Tenorite" w:eastAsia="Times New Roman" w:hAnsi="Tenorite" w:cs="Times New Roman"/>
          <w:sz w:val="20"/>
          <w:szCs w:val="20"/>
          <w:lang w:eastAsia="fr-FR"/>
        </w:rPr>
        <w:t> du 30-09-2024 - Plan de vaccination officiel IAHP – Campagne de vaccination des canards - octobre 2024 (DGAL)</w:t>
      </w:r>
    </w:p>
    <w:p w14:paraId="6CB0990D"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p>
    <w:p w14:paraId="2FA9E73B"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hyperlink r:id="rId85" w:history="1">
        <w:r w:rsidRPr="00361674">
          <w:rPr>
            <w:rFonts w:ascii="Tenorite" w:eastAsia="Calibri" w:hAnsi="Tenorite" w:cs="Calibri"/>
            <w:color w:val="0000FF"/>
            <w:sz w:val="20"/>
            <w:szCs w:val="20"/>
          </w:rPr>
          <w:t>Rectificatif</w:t>
        </w:r>
      </w:hyperlink>
      <w:r w:rsidRPr="00361674">
        <w:rPr>
          <w:rFonts w:ascii="Tenorite" w:eastAsia="Calibri" w:hAnsi="Tenorite" w:cs="Calibri"/>
          <w:sz w:val="20"/>
          <w:szCs w:val="20"/>
        </w:rPr>
        <w:t> du 17-09-2024 - Influenza aviaire (IA) - Surveillance événementielle dans la faune sauvage (DGAL)</w:t>
      </w:r>
    </w:p>
    <w:p w14:paraId="04B0D3B3"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p>
    <w:p w14:paraId="1FEAE392" w14:textId="1CD6FDF9" w:rsidR="00D025D4" w:rsidRPr="005F3EA3" w:rsidRDefault="00D025D4" w:rsidP="005335D7">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Maladies</w:t>
      </w:r>
    </w:p>
    <w:p w14:paraId="5430CB82" w14:textId="77777777"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hyperlink r:id="rId86" w:history="1">
        <w:r w:rsidRPr="00361674">
          <w:rPr>
            <w:rFonts w:ascii="Tenorite" w:eastAsia="Calibri" w:hAnsi="Tenorite" w:cs="Calibri"/>
            <w:color w:val="0000FF"/>
            <w:sz w:val="20"/>
            <w:szCs w:val="20"/>
          </w:rPr>
          <w:t>Arrêté</w:t>
        </w:r>
      </w:hyperlink>
      <w:r w:rsidRPr="00361674">
        <w:rPr>
          <w:rFonts w:ascii="Tenorite" w:eastAsia="Calibri" w:hAnsi="Tenorite" w:cs="Calibri"/>
          <w:sz w:val="20"/>
          <w:szCs w:val="20"/>
        </w:rPr>
        <w:t xml:space="preserve"> du 5 septembre 2024 modifiant l'arrêté du 25 octobre 2023 fixant des mesures de surveillance, de prévention et de lutte vis-à-vis de la maladie hémorragique épizootique (JORF 12/09/2024)</w:t>
      </w:r>
    </w:p>
    <w:p w14:paraId="5708FBF6" w14:textId="77777777" w:rsidR="00361674" w:rsidRDefault="00361674" w:rsidP="005335D7">
      <w:pPr>
        <w:shd w:val="clear" w:color="auto" w:fill="FFFFFF"/>
        <w:spacing w:after="0" w:line="240" w:lineRule="auto"/>
        <w:ind w:left="142"/>
        <w:jc w:val="both"/>
        <w:rPr>
          <w:rFonts w:ascii="Tenorite" w:eastAsia="Calibri" w:hAnsi="Tenorite" w:cs="Calibri"/>
          <w:sz w:val="20"/>
          <w:szCs w:val="20"/>
        </w:rPr>
      </w:pPr>
    </w:p>
    <w:p w14:paraId="5C0667AD" w14:textId="00C9C14B" w:rsidR="00361674" w:rsidRPr="00361674" w:rsidRDefault="00361674" w:rsidP="005335D7">
      <w:pPr>
        <w:shd w:val="clear" w:color="auto" w:fill="FFFFFF"/>
        <w:spacing w:after="0" w:line="240" w:lineRule="auto"/>
        <w:ind w:left="142"/>
        <w:jc w:val="both"/>
        <w:rPr>
          <w:rFonts w:ascii="Tenorite" w:eastAsia="Calibri" w:hAnsi="Tenorite" w:cs="Calibri"/>
          <w:sz w:val="20"/>
          <w:szCs w:val="20"/>
        </w:rPr>
      </w:pPr>
      <w:hyperlink r:id="rId87" w:history="1">
        <w:r w:rsidRPr="00361674">
          <w:rPr>
            <w:rFonts w:ascii="Tenorite" w:eastAsia="Calibri" w:hAnsi="Tenorite" w:cs="Calibri"/>
            <w:color w:val="0000FF"/>
            <w:sz w:val="20"/>
            <w:szCs w:val="20"/>
          </w:rPr>
          <w:t>Décision</w:t>
        </w:r>
      </w:hyperlink>
      <w:r w:rsidRPr="00361674">
        <w:rPr>
          <w:rFonts w:ascii="Tenorite" w:eastAsia="Calibri" w:hAnsi="Tenorite" w:cs="Calibri"/>
          <w:sz w:val="20"/>
          <w:szCs w:val="20"/>
        </w:rPr>
        <w:t> du 18-09-2024 - Décision du 18 septembre 2024 définissant la zone vaccinale contre le virus de la MHE (DGAL)</w:t>
      </w:r>
    </w:p>
    <w:p w14:paraId="25CEC5E8" w14:textId="77777777" w:rsidR="00361674" w:rsidRDefault="00361674" w:rsidP="005335D7">
      <w:pPr>
        <w:spacing w:after="0" w:line="240" w:lineRule="auto"/>
        <w:ind w:left="426" w:hanging="283"/>
        <w:rPr>
          <w:rFonts w:ascii="Tenorite" w:hAnsi="Tenorite"/>
          <w:color w:val="C45911" w:themeColor="accent2" w:themeShade="BF"/>
          <w:sz w:val="20"/>
          <w:szCs w:val="18"/>
        </w:rPr>
      </w:pPr>
    </w:p>
    <w:p w14:paraId="22B970FD" w14:textId="77777777" w:rsidR="00D025D4" w:rsidRPr="005F3EA3" w:rsidRDefault="00D025D4" w:rsidP="005335D7">
      <w:pPr>
        <w:pStyle w:val="Titre1"/>
        <w:spacing w:before="0" w:line="240" w:lineRule="auto"/>
        <w:ind w:left="142"/>
        <w:rPr>
          <w:rFonts w:ascii="Tenorite" w:hAnsi="Tenorite" w:cs="Tahoma"/>
          <w:i/>
          <w:sz w:val="20"/>
          <w:szCs w:val="20"/>
        </w:rPr>
      </w:pPr>
      <w:r w:rsidRPr="005F3EA3">
        <w:rPr>
          <w:rFonts w:ascii="Tenorite" w:hAnsi="Tenorite" w:cs="Tahoma"/>
          <w:i/>
          <w:sz w:val="20"/>
          <w:szCs w:val="20"/>
        </w:rPr>
        <w:t>Ce bulletin est la propriété du CRITT Agro-Alimentaire PACA et est établi à l'usage exclusif de l’entreprise signataire du bulletin d’adhésion.</w:t>
      </w:r>
    </w:p>
    <w:p w14:paraId="3F30563A" w14:textId="77777777" w:rsidR="00D025D4" w:rsidRPr="005F3EA3" w:rsidRDefault="00D025D4" w:rsidP="005335D7">
      <w:pPr>
        <w:spacing w:after="0" w:line="240" w:lineRule="auto"/>
        <w:rPr>
          <w:rFonts w:ascii="Tenorite" w:hAnsi="Tenorite"/>
        </w:rPr>
      </w:pPr>
    </w:p>
    <w:p w14:paraId="3C68D160" w14:textId="77777777" w:rsidR="000C0DEF" w:rsidRPr="005F3EA3" w:rsidRDefault="000C0DEF" w:rsidP="005335D7">
      <w:pPr>
        <w:spacing w:after="0" w:line="240" w:lineRule="auto"/>
        <w:rPr>
          <w:rFonts w:ascii="Tenorite" w:hAnsi="Tenorite"/>
        </w:rPr>
      </w:pPr>
    </w:p>
    <w:sectPr w:rsidR="000C0DEF" w:rsidRPr="005F3EA3" w:rsidSect="000C0DEF">
      <w:headerReference w:type="even" r:id="rId88"/>
      <w:headerReference w:type="default" r:id="rId89"/>
      <w:footerReference w:type="default" r:id="rId90"/>
      <w:headerReference w:type="first" r:id="rId91"/>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81C888" w14:textId="77777777" w:rsidR="000C0DEF" w:rsidRDefault="000C0DEF" w:rsidP="000C0DEF">
      <w:pPr>
        <w:spacing w:after="0" w:line="240" w:lineRule="auto"/>
      </w:pPr>
      <w:r>
        <w:separator/>
      </w:r>
    </w:p>
  </w:endnote>
  <w:endnote w:type="continuationSeparator" w:id="0">
    <w:p w14:paraId="14BE9002" w14:textId="77777777" w:rsidR="000C0DEF" w:rsidRDefault="000C0DE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enorite">
    <w:charset w:val="00"/>
    <w:family w:val="auto"/>
    <w:pitch w:val="variable"/>
    <w:sig w:usb0="80000003" w:usb1="00000001"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enorite" w:hAnsi="Tenorite"/>
        <w:sz w:val="18"/>
        <w:szCs w:val="18"/>
      </w:rPr>
      <w:id w:val="270144275"/>
      <w:docPartObj>
        <w:docPartGallery w:val="Page Numbers (Bottom of Page)"/>
        <w:docPartUnique/>
      </w:docPartObj>
    </w:sdtPr>
    <w:sdtEndPr/>
    <w:sdtContent>
      <w:p w14:paraId="4E563226" w14:textId="11F308F8" w:rsidR="000C0DEF" w:rsidRPr="007C0074" w:rsidRDefault="007C0074" w:rsidP="000C0DEF">
        <w:pPr>
          <w:pStyle w:val="Pieddepage"/>
          <w:ind w:right="141"/>
          <w:jc w:val="right"/>
          <w:rPr>
            <w:rFonts w:ascii="Tenorite" w:hAnsi="Tenorite"/>
            <w:sz w:val="18"/>
            <w:szCs w:val="18"/>
          </w:rPr>
        </w:pPr>
        <w:r w:rsidRPr="007C0074">
          <w:rPr>
            <w:rFonts w:ascii="Tenorite" w:hAnsi="Tenorite"/>
            <w:sz w:val="18"/>
            <w:szCs w:val="18"/>
          </w:rPr>
          <w:t xml:space="preserve">Page </w:t>
        </w:r>
        <w:r w:rsidRPr="007C0074">
          <w:rPr>
            <w:rFonts w:ascii="Tenorite" w:hAnsi="Tenorite"/>
            <w:b/>
            <w:bCs/>
            <w:sz w:val="18"/>
            <w:szCs w:val="18"/>
          </w:rPr>
          <w:fldChar w:fldCharType="begin"/>
        </w:r>
        <w:r w:rsidRPr="007C0074">
          <w:rPr>
            <w:rFonts w:ascii="Tenorite" w:hAnsi="Tenorite"/>
            <w:b/>
            <w:bCs/>
            <w:sz w:val="18"/>
            <w:szCs w:val="18"/>
          </w:rPr>
          <w:instrText>PAGE  \* Arabic  \* MERGEFORMAT</w:instrText>
        </w:r>
        <w:r w:rsidRPr="007C0074">
          <w:rPr>
            <w:rFonts w:ascii="Tenorite" w:hAnsi="Tenorite"/>
            <w:b/>
            <w:bCs/>
            <w:sz w:val="18"/>
            <w:szCs w:val="18"/>
          </w:rPr>
          <w:fldChar w:fldCharType="separate"/>
        </w:r>
        <w:r w:rsidRPr="007C0074">
          <w:rPr>
            <w:rFonts w:ascii="Tenorite" w:hAnsi="Tenorite"/>
            <w:b/>
            <w:bCs/>
            <w:sz w:val="18"/>
            <w:szCs w:val="18"/>
          </w:rPr>
          <w:t>1</w:t>
        </w:r>
        <w:r w:rsidRPr="007C0074">
          <w:rPr>
            <w:rFonts w:ascii="Tenorite" w:hAnsi="Tenorite"/>
            <w:b/>
            <w:bCs/>
            <w:sz w:val="18"/>
            <w:szCs w:val="18"/>
          </w:rPr>
          <w:fldChar w:fldCharType="end"/>
        </w:r>
        <w:r w:rsidRPr="007C0074">
          <w:rPr>
            <w:rFonts w:ascii="Tenorite" w:hAnsi="Tenorite"/>
            <w:sz w:val="18"/>
            <w:szCs w:val="18"/>
          </w:rPr>
          <w:t xml:space="preserve"> sur </w:t>
        </w:r>
        <w:r w:rsidRPr="007C0074">
          <w:rPr>
            <w:rFonts w:ascii="Tenorite" w:hAnsi="Tenorite"/>
            <w:b/>
            <w:bCs/>
            <w:sz w:val="18"/>
            <w:szCs w:val="18"/>
          </w:rPr>
          <w:fldChar w:fldCharType="begin"/>
        </w:r>
        <w:r w:rsidRPr="007C0074">
          <w:rPr>
            <w:rFonts w:ascii="Tenorite" w:hAnsi="Tenorite"/>
            <w:b/>
            <w:bCs/>
            <w:sz w:val="18"/>
            <w:szCs w:val="18"/>
          </w:rPr>
          <w:instrText>NUMPAGES  \* Arabic  \* MERGEFORMAT</w:instrText>
        </w:r>
        <w:r w:rsidRPr="007C0074">
          <w:rPr>
            <w:rFonts w:ascii="Tenorite" w:hAnsi="Tenorite"/>
            <w:b/>
            <w:bCs/>
            <w:sz w:val="18"/>
            <w:szCs w:val="18"/>
          </w:rPr>
          <w:fldChar w:fldCharType="separate"/>
        </w:r>
        <w:r w:rsidRPr="007C0074">
          <w:rPr>
            <w:rFonts w:ascii="Tenorite" w:hAnsi="Tenorite"/>
            <w:b/>
            <w:bCs/>
            <w:sz w:val="18"/>
            <w:szCs w:val="18"/>
          </w:rPr>
          <w:t>2</w:t>
        </w:r>
        <w:r w:rsidRPr="007C0074">
          <w:rPr>
            <w:rFonts w:ascii="Tenorite" w:hAnsi="Tenorite"/>
            <w:b/>
            <w:bCs/>
            <w:sz w:val="18"/>
            <w:szCs w:val="18"/>
          </w:rPr>
          <w:fldChar w:fldCharType="end"/>
        </w:r>
      </w:p>
    </w:sdtContent>
  </w:sdt>
  <w:p w14:paraId="5BCEC587" w14:textId="1FADF87F" w:rsidR="000C0DEF" w:rsidRDefault="000C0DEF" w:rsidP="000C0DEF">
    <w:pPr>
      <w:pStyle w:val="Pieddepage"/>
      <w:tabs>
        <w:tab w:val="clear" w:pos="4536"/>
        <w:tab w:val="clear" w:pos="9072"/>
        <w:tab w:val="left" w:pos="3210"/>
      </w:tabs>
      <w:ind w:right="113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5A0E76" w14:textId="77777777" w:rsidR="000C0DEF" w:rsidRDefault="000C0DEF" w:rsidP="000C0DEF">
      <w:pPr>
        <w:spacing w:after="0" w:line="240" w:lineRule="auto"/>
      </w:pPr>
      <w:r>
        <w:separator/>
      </w:r>
    </w:p>
  </w:footnote>
  <w:footnote w:type="continuationSeparator" w:id="0">
    <w:p w14:paraId="7155249D" w14:textId="77777777" w:rsidR="000C0DEF" w:rsidRDefault="000C0DE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F5FE77" w14:textId="77777777" w:rsidR="000C0DEF" w:rsidRDefault="002B5855">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2056"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777297" w14:textId="18EB895B" w:rsidR="000C0DEF" w:rsidRPr="000C0DEF" w:rsidRDefault="00762B2F" w:rsidP="005F3EA3">
    <w:pPr>
      <w:pStyle w:val="En-tte"/>
    </w:pPr>
    <w:r>
      <w:rPr>
        <w:rFonts w:ascii="Verdana" w:eastAsia="Times New Roman" w:hAnsi="Verdana" w:cs="Times New Roman"/>
        <w:noProof/>
        <w:sz w:val="20"/>
        <w:szCs w:val="20"/>
        <w:lang w:eastAsia="fr-FR"/>
      </w:rPr>
      <w:drawing>
        <wp:anchor distT="0" distB="0" distL="114300" distR="114300" simplePos="0" relativeHeight="251669504" behindDoc="0" locked="0" layoutInCell="1" allowOverlap="1" wp14:anchorId="02AF3819" wp14:editId="1707CD1C">
          <wp:simplePos x="0" y="0"/>
          <wp:positionH relativeFrom="column">
            <wp:posOffset>0</wp:posOffset>
          </wp:positionH>
          <wp:positionV relativeFrom="paragraph">
            <wp:posOffset>-635</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sidR="002B5855">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2057"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6AD3F" w14:textId="77777777" w:rsidR="000C0DEF" w:rsidRDefault="002B5855">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2055"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11984"/>
    <w:rsid w:val="000255A7"/>
    <w:rsid w:val="000C0DEF"/>
    <w:rsid w:val="0012180A"/>
    <w:rsid w:val="001B42BB"/>
    <w:rsid w:val="002B5855"/>
    <w:rsid w:val="002B7CB6"/>
    <w:rsid w:val="002D342B"/>
    <w:rsid w:val="002F17D1"/>
    <w:rsid w:val="002F2BDE"/>
    <w:rsid w:val="00355F62"/>
    <w:rsid w:val="00361674"/>
    <w:rsid w:val="005335D7"/>
    <w:rsid w:val="00544953"/>
    <w:rsid w:val="005A2FD4"/>
    <w:rsid w:val="005F3EA3"/>
    <w:rsid w:val="005F79C3"/>
    <w:rsid w:val="00762B2F"/>
    <w:rsid w:val="00764235"/>
    <w:rsid w:val="00795687"/>
    <w:rsid w:val="007C0074"/>
    <w:rsid w:val="00816AAF"/>
    <w:rsid w:val="008B7919"/>
    <w:rsid w:val="00901715"/>
    <w:rsid w:val="00B72E15"/>
    <w:rsid w:val="00BF1263"/>
    <w:rsid w:val="00BF4B08"/>
    <w:rsid w:val="00D025D4"/>
    <w:rsid w:val="00E33AF3"/>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BF4B08"/>
    <w:rPr>
      <w:strike w:val="0"/>
      <w:dstrike w:val="0"/>
      <w:color w:val="0000FF"/>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france.gouv.fr/jorf/id/JORFTEXT000050253886" TargetMode="External"/><Relationship Id="rId18" Type="http://schemas.openxmlformats.org/officeDocument/2006/relationships/hyperlink" Target="https://eur-lex.europa.eu/legal-content/FR/TXT/PDF/?uri=OJ:L_202402189" TargetMode="External"/><Relationship Id="rId26" Type="http://schemas.openxmlformats.org/officeDocument/2006/relationships/hyperlink" Target="https://eur-lex.europa.eu/legal-content/FR/TXT/PDF/?uri=OJ:L_202402209" TargetMode="External"/><Relationship Id="rId39" Type="http://schemas.openxmlformats.org/officeDocument/2006/relationships/hyperlink" Target="https://eur-lex.europa.eu/legal-content/FR/TXT/PDF/?uri=OJ:L_202402416" TargetMode="External"/><Relationship Id="rId21" Type="http://schemas.openxmlformats.org/officeDocument/2006/relationships/hyperlink" Target="https://eur-lex.europa.eu/legal-content/FR/TXT/PDF/?uri=OJ:L_202402198" TargetMode="External"/><Relationship Id="rId34" Type="http://schemas.openxmlformats.org/officeDocument/2006/relationships/hyperlink" Target="https://eur-lex.europa.eu/legal-content/FR/TXT/PDF/?uri=OJ:L_202402422" TargetMode="External"/><Relationship Id="rId42" Type="http://schemas.openxmlformats.org/officeDocument/2006/relationships/hyperlink" Target="https://eur-lex.europa.eu/legal-content/FR/TXT/PDF/?uri=OJ:L_202402421" TargetMode="External"/><Relationship Id="rId47" Type="http://schemas.openxmlformats.org/officeDocument/2006/relationships/hyperlink" Target="https://eur-lex.europa.eu/legal-content/FR/TXT/PDF/?uri=OJ:L_202402462" TargetMode="External"/><Relationship Id="rId50" Type="http://schemas.openxmlformats.org/officeDocument/2006/relationships/hyperlink" Target="https://eur-lex.europa.eu/legal-content/FR/TXT/PDF/?uri=OJ:L_202402512" TargetMode="External"/><Relationship Id="rId55" Type="http://schemas.openxmlformats.org/officeDocument/2006/relationships/hyperlink" Target="https://www.plateforme-sca.fr/ndeg119-19-septembre-2024" TargetMode="External"/><Relationship Id="rId63" Type="http://schemas.openxmlformats.org/officeDocument/2006/relationships/hyperlink" Target="https://www.legifrance.gouv.fr/jorf/id/JORFTEXT000050278860" TargetMode="External"/><Relationship Id="rId68" Type="http://schemas.openxmlformats.org/officeDocument/2006/relationships/hyperlink" Target="https://info.agriculture.gouv.fr/boagri/document_administratif-34e9e997-1baf-4699-a757-282348b8c143" TargetMode="External"/><Relationship Id="rId76" Type="http://schemas.openxmlformats.org/officeDocument/2006/relationships/hyperlink" Target="https://eur-lex.europa.eu/legal-content/FR/TXT/PDF/?uri=OJ:L_202402425" TargetMode="External"/><Relationship Id="rId84" Type="http://schemas.openxmlformats.org/officeDocument/2006/relationships/hyperlink" Target="https://info.agriculture.gouv.fr/boagri/instruction-2024-546" TargetMode="External"/><Relationship Id="rId89" Type="http://schemas.openxmlformats.org/officeDocument/2006/relationships/header" Target="header2.xml"/><Relationship Id="rId7" Type="http://schemas.openxmlformats.org/officeDocument/2006/relationships/hyperlink" Target="https://eur-lex.europa.eu/legal-content/FR/TXT/PDF/?uri=OJ:L_202402463" TargetMode="External"/><Relationship Id="rId71" Type="http://schemas.openxmlformats.org/officeDocument/2006/relationships/hyperlink" Target="https://eur-lex.europa.eu/legal-content/FR/TXT/PDF/?uri=OJ:L_202402523" TargetMode="External"/><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eur-lex.europa.eu/legal-content/FR/TXT/PDF/?uri=OJ:L_202402186" TargetMode="External"/><Relationship Id="rId29" Type="http://schemas.openxmlformats.org/officeDocument/2006/relationships/hyperlink" Target="https://eur-lex.europa.eu/legal-content/FR/TXT/PDF/?uri=OJ:L_202402405" TargetMode="External"/><Relationship Id="rId11" Type="http://schemas.openxmlformats.org/officeDocument/2006/relationships/hyperlink" Target="https://info.agriculture.gouv.fr/boagri/document_administratif-8279717c-0084-4e9d-9e0c-ecb86343521a" TargetMode="External"/><Relationship Id="rId24" Type="http://schemas.openxmlformats.org/officeDocument/2006/relationships/hyperlink" Target="https://eur-lex.europa.eu/legal-content/FR/TXT/PDF/?uri=OJ:L_202402221" TargetMode="External"/><Relationship Id="rId32" Type="http://schemas.openxmlformats.org/officeDocument/2006/relationships/hyperlink" Target="https://eur-lex.europa.eu/legal-content/FR/TXT/PDF/?uri=OJ:L_202402409" TargetMode="External"/><Relationship Id="rId37" Type="http://schemas.openxmlformats.org/officeDocument/2006/relationships/hyperlink" Target="https://eur-lex.europa.eu/legal-content/FR/TXT/PDF/?uri=OJ:L_202402410" TargetMode="External"/><Relationship Id="rId40" Type="http://schemas.openxmlformats.org/officeDocument/2006/relationships/hyperlink" Target="https://eur-lex.europa.eu/legal-content/FR/TXT/PDF/?uri=OJ:L_202402417" TargetMode="External"/><Relationship Id="rId45" Type="http://schemas.openxmlformats.org/officeDocument/2006/relationships/hyperlink" Target="https://eur-lex.europa.eu/legal-content/FR/TXT/PDF/?uri=OJ:L_202402432" TargetMode="External"/><Relationship Id="rId53" Type="http://schemas.openxmlformats.org/officeDocument/2006/relationships/hyperlink" Target="https://be.anses.fr/sites/default/files/BE%20102%20page%20de%20garde%20interm%C3%A9diaire.pdf" TargetMode="External"/><Relationship Id="rId58" Type="http://schemas.openxmlformats.org/officeDocument/2006/relationships/hyperlink" Target="https://eur-lex.europa.eu/legal-content/FR/TXT/PDF/?uri=OJ:L_202402196" TargetMode="External"/><Relationship Id="rId66" Type="http://schemas.openxmlformats.org/officeDocument/2006/relationships/hyperlink" Target="https://eur-lex.europa.eu/legal-content/FR/TXT/PDF/?uri=OJ:L_202402382" TargetMode="External"/><Relationship Id="rId74" Type="http://schemas.openxmlformats.org/officeDocument/2006/relationships/hyperlink" Target="https://eur-lex.europa.eu/legal-content/FR/TXT/PDF/?uri=OJ:L_202402466" TargetMode="External"/><Relationship Id="rId79" Type="http://schemas.openxmlformats.org/officeDocument/2006/relationships/hyperlink" Target="https://info.agriculture.gouv.fr/boagri/instruction-2024-497" TargetMode="External"/><Relationship Id="rId87" Type="http://schemas.openxmlformats.org/officeDocument/2006/relationships/hyperlink" Target="https://info.agriculture.gouv.fr/boagri/document_administratif-c454f794-c447-47da-9b57-3695808d9266" TargetMode="External"/><Relationship Id="rId5" Type="http://schemas.openxmlformats.org/officeDocument/2006/relationships/footnotes" Target="footnotes.xml"/><Relationship Id="rId61" Type="http://schemas.openxmlformats.org/officeDocument/2006/relationships/hyperlink" Target="https://eur-lex.europa.eu/legal-content/FR/TXT/PDF/?uri=OJ:L_202402399" TargetMode="External"/><Relationship Id="rId82" Type="http://schemas.openxmlformats.org/officeDocument/2006/relationships/hyperlink" Target="https://eur-lex.europa.eu/legal-content/FR/TXT/PDF/?uri=OJ:L_202402191" TargetMode="External"/><Relationship Id="rId90" Type="http://schemas.openxmlformats.org/officeDocument/2006/relationships/footer" Target="footer1.xml"/><Relationship Id="rId19" Type="http://schemas.openxmlformats.org/officeDocument/2006/relationships/hyperlink" Target="https://eur-lex.europa.eu/legal-content/FR/TXT/PDF/?uri=OJ:L_202402194" TargetMode="External"/><Relationship Id="rId14" Type="http://schemas.openxmlformats.org/officeDocument/2006/relationships/hyperlink" Target="https://info.agriculture.gouv.fr/boagri/instruction-2024-537" TargetMode="External"/><Relationship Id="rId22" Type="http://schemas.openxmlformats.org/officeDocument/2006/relationships/hyperlink" Target="https://eur-lex.europa.eu/legal-content/FR/TXT/PDF/?uri=OJ:L_202402199" TargetMode="External"/><Relationship Id="rId27" Type="http://schemas.openxmlformats.org/officeDocument/2006/relationships/hyperlink" Target="https://eur-lex.europa.eu/legal-content/FR/TXT/PDF/?uri=OJ:L_202402400" TargetMode="External"/><Relationship Id="rId30" Type="http://schemas.openxmlformats.org/officeDocument/2006/relationships/hyperlink" Target="https://eur-lex.europa.eu/legal-content/FR/TXT/PDF/?uri=OJ:L_202402401" TargetMode="External"/><Relationship Id="rId35" Type="http://schemas.openxmlformats.org/officeDocument/2006/relationships/hyperlink" Target="https://eur-lex.europa.eu/legal-content/FR/TXT/PDF/?uri=OJ:L_202402423" TargetMode="External"/><Relationship Id="rId43" Type="http://schemas.openxmlformats.org/officeDocument/2006/relationships/hyperlink" Target="https://eur-lex.europa.eu/legal-content/FR/TXT/PDF/?uri=OJ:L_202402426" TargetMode="External"/><Relationship Id="rId48" Type="http://schemas.openxmlformats.org/officeDocument/2006/relationships/hyperlink" Target="https://eur-lex.europa.eu/legal-content/FR/TXT/PDF/?uri=OJ:L_202402564" TargetMode="External"/><Relationship Id="rId56" Type="http://schemas.openxmlformats.org/officeDocument/2006/relationships/hyperlink" Target="https://knowledge4policy.ec.europa.eu/sites/default/files/July_August%202024_0.pdf" TargetMode="External"/><Relationship Id="rId64" Type="http://schemas.openxmlformats.org/officeDocument/2006/relationships/hyperlink" Target="https://info.agriculture.gouv.fr/boagri/document_administratif-1d439e08-23c2-4b5b-aa8d-d370ff751ea7" TargetMode="External"/><Relationship Id="rId69" Type="http://schemas.openxmlformats.org/officeDocument/2006/relationships/hyperlink" Target="https://eur-lex.europa.eu/legal-content/FR/TXT/PDF/?uri=OJ:L_202402498" TargetMode="External"/><Relationship Id="rId77" Type="http://schemas.openxmlformats.org/officeDocument/2006/relationships/hyperlink" Target="https://eur-lex.europa.eu/legal-content/FR/TXT/PDF/?uri=OJ:L_202402491" TargetMode="External"/><Relationship Id="rId8" Type="http://schemas.openxmlformats.org/officeDocument/2006/relationships/hyperlink" Target="https://eur-lex.europa.eu/legal-content/FR/TXT/PDF/?uri=OJ:L_202402562" TargetMode="External"/><Relationship Id="rId51" Type="http://schemas.openxmlformats.org/officeDocument/2006/relationships/hyperlink" Target="https://www.anses.fr/fr/system/files/ERCA2017SA0069.pdf" TargetMode="External"/><Relationship Id="rId72" Type="http://schemas.openxmlformats.org/officeDocument/2006/relationships/hyperlink" Target="https://info.agriculture.gouv.fr/boagri/document_administratif-70234d85-5f18-4379-b677-e2ed9bbfe2c7" TargetMode="External"/><Relationship Id="rId80" Type="http://schemas.openxmlformats.org/officeDocument/2006/relationships/hyperlink" Target="https://eur-lex.europa.eu/legal-content/FR/TXT/PDF/?uri=OJ:L_202402529" TargetMode="External"/><Relationship Id="rId85" Type="http://schemas.openxmlformats.org/officeDocument/2006/relationships/hyperlink" Target="https://info.agriculture.gouv.fr/boagri/rectificatif-8bf4b9c0-25c3-4c04-bfef-4ac0dc156fb2" TargetMode="External"/><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legifrance.gouv.fr/jorf/id/JORFTEXT000050238419" TargetMode="External"/><Relationship Id="rId17" Type="http://schemas.openxmlformats.org/officeDocument/2006/relationships/hyperlink" Target="https://eur-lex.europa.eu/legal-content/FR/TXT/PDF/?uri=OJ:L_202402188" TargetMode="External"/><Relationship Id="rId25" Type="http://schemas.openxmlformats.org/officeDocument/2006/relationships/hyperlink" Target="https://eur-lex.europa.eu/legal-content/FR/TXT/PDF/?uri=OJ:L_202402390" TargetMode="External"/><Relationship Id="rId33" Type="http://schemas.openxmlformats.org/officeDocument/2006/relationships/hyperlink" Target="https://eur-lex.europa.eu/legal-content/FR/TXT/PDF/?uri=OJ:L_202402419" TargetMode="External"/><Relationship Id="rId38" Type="http://schemas.openxmlformats.org/officeDocument/2006/relationships/hyperlink" Target="https://eur-lex.europa.eu/legal-content/FR/TXT/PDF/?uri=OJ:L_202402411" TargetMode="External"/><Relationship Id="rId46" Type="http://schemas.openxmlformats.org/officeDocument/2006/relationships/hyperlink" Target="https://eur-lex.europa.eu/legal-content/FR/TXT/PDF/?uri=OJ:L_202402460" TargetMode="External"/><Relationship Id="rId59" Type="http://schemas.openxmlformats.org/officeDocument/2006/relationships/hyperlink" Target="http://www.conseil-etat.fr/fr/arianeweb/CE/decision/2024-08-14/496590" TargetMode="External"/><Relationship Id="rId67" Type="http://schemas.openxmlformats.org/officeDocument/2006/relationships/hyperlink" Target="https://eur-lex.europa.eu/legal-content/FR/TXT/PDF/?uri=OJ:L_202402584" TargetMode="External"/><Relationship Id="rId20" Type="http://schemas.openxmlformats.org/officeDocument/2006/relationships/hyperlink" Target="https://eur-lex.europa.eu/legal-content/FR/TXT/PDF/?uri=OJ:L_202402197" TargetMode="External"/><Relationship Id="rId41" Type="http://schemas.openxmlformats.org/officeDocument/2006/relationships/hyperlink" Target="https://eur-lex.europa.eu/legal-content/FR/TXT/PDF/?uri=OJ:L_202402420" TargetMode="External"/><Relationship Id="rId54" Type="http://schemas.openxmlformats.org/officeDocument/2006/relationships/hyperlink" Target="https://www.plateforme-sca.fr/ndeg118-6-septembre-2024" TargetMode="External"/><Relationship Id="rId62" Type="http://schemas.openxmlformats.org/officeDocument/2006/relationships/hyperlink" Target="https://eur-lex.europa.eu/legal-content/FR/TXT/PDF/?uri=OJ:L_202402104" TargetMode="External"/><Relationship Id="rId70" Type="http://schemas.openxmlformats.org/officeDocument/2006/relationships/hyperlink" Target="https://eur-lex.europa.eu/legal-content/FR/TXT/PDF/?uri=OJ:L_202402501" TargetMode="External"/><Relationship Id="rId75" Type="http://schemas.openxmlformats.org/officeDocument/2006/relationships/hyperlink" Target="https://info.agriculture.gouv.fr/boagri/instruction-2024-538" TargetMode="External"/><Relationship Id="rId83" Type="http://schemas.openxmlformats.org/officeDocument/2006/relationships/hyperlink" Target="https://eur-lex.europa.eu/legal-content/FR/TXT/PDF/?uri=OJ:L_202402214" TargetMode="External"/><Relationship Id="rId88" Type="http://schemas.openxmlformats.org/officeDocument/2006/relationships/header" Target="header1.xml"/><Relationship Id="rId9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402175" TargetMode="External"/><Relationship Id="rId23" Type="http://schemas.openxmlformats.org/officeDocument/2006/relationships/hyperlink" Target="https://eur-lex.europa.eu/legal-content/FR/TXT/PDF/?uri=OJ:L_202402205" TargetMode="External"/><Relationship Id="rId28" Type="http://schemas.openxmlformats.org/officeDocument/2006/relationships/hyperlink" Target="https://eur-lex.europa.eu/legal-content/FR/TXT/PDF/?uri=OJ:L_202402404" TargetMode="External"/><Relationship Id="rId36" Type="http://schemas.openxmlformats.org/officeDocument/2006/relationships/hyperlink" Target="https://eur-lex.europa.eu/legal-content/FR/TXT/PDF/?uri=OJ:L_202402424" TargetMode="External"/><Relationship Id="rId49" Type="http://schemas.openxmlformats.org/officeDocument/2006/relationships/hyperlink" Target="http://www.conseil-etat.fr/fr/arianeweb/CE/decision/2024-07-15/489807" TargetMode="External"/><Relationship Id="rId57" Type="http://schemas.openxmlformats.org/officeDocument/2006/relationships/hyperlink" Target="https://info.agriculture.gouv.fr/boagri/instruction-2024-528" TargetMode="External"/><Relationship Id="rId10" Type="http://schemas.openxmlformats.org/officeDocument/2006/relationships/hyperlink" Target="https://www.anses.fr/fr/system/files/REACH2013REACh0249.pdf" TargetMode="External"/><Relationship Id="rId31" Type="http://schemas.openxmlformats.org/officeDocument/2006/relationships/hyperlink" Target="https://eur-lex.europa.eu/legal-content/FR/TXT/PDF/?uri=OJ:L_202402402" TargetMode="External"/><Relationship Id="rId44" Type="http://schemas.openxmlformats.org/officeDocument/2006/relationships/hyperlink" Target="https://eur-lex.europa.eu/legal-content/FR/TXT/PDF/?uri=OJ:L_202402430" TargetMode="External"/><Relationship Id="rId52" Type="http://schemas.openxmlformats.org/officeDocument/2006/relationships/hyperlink" Target="https://www.anses.fr/fr/system/files/ANXERCA2017SA0069.pdf" TargetMode="External"/><Relationship Id="rId60" Type="http://schemas.openxmlformats.org/officeDocument/2006/relationships/hyperlink" Target="https://www.anses.fr/fr/system/files/NUT2023VIG0159.pdf" TargetMode="External"/><Relationship Id="rId65" Type="http://schemas.openxmlformats.org/officeDocument/2006/relationships/hyperlink" Target="https://info.agriculture.gouv.fr/boagri/instruction-2024-508" TargetMode="External"/><Relationship Id="rId73" Type="http://schemas.openxmlformats.org/officeDocument/2006/relationships/hyperlink" Target="https://info.agriculture.gouv.fr/boagri/document_administratif-3fd7397f-a681-4920-822c-7a51f30ddbe2" TargetMode="External"/><Relationship Id="rId78" Type="http://schemas.openxmlformats.org/officeDocument/2006/relationships/hyperlink" Target="https://eur-lex.europa.eu/legal-content/FR/TXT/PDF/?uri=OJ:L_202402526" TargetMode="External"/><Relationship Id="rId81" Type="http://schemas.openxmlformats.org/officeDocument/2006/relationships/hyperlink" Target="https://eur-lex.europa.eu/legal-content/FR/TXT/PDF/?uri=OJ:L_202402475" TargetMode="External"/><Relationship Id="rId86" Type="http://schemas.openxmlformats.org/officeDocument/2006/relationships/hyperlink" Target="https://www.legifrance.gouv.fr/jorf/id/JORFTEXT000050202904" TargetMode="External"/><Relationship Id="rId4" Type="http://schemas.openxmlformats.org/officeDocument/2006/relationships/webSettings" Target="webSettings.xml"/><Relationship Id="rId9" Type="http://schemas.openxmlformats.org/officeDocument/2006/relationships/hyperlink" Target="https://eur-lex.europa.eu/legal-content/FR/TXT/PDF/?uri=OJ:L_20240256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4478</Words>
  <Characters>24633</Characters>
  <Application>Microsoft Office Word</Application>
  <DocSecurity>4</DocSecurity>
  <Lines>205</Lines>
  <Paragraphs>58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Sylvie LEMAITRE</cp:lastModifiedBy>
  <cp:revision>2</cp:revision>
  <dcterms:created xsi:type="dcterms:W3CDTF">2024-10-07T08:57:00Z</dcterms:created>
  <dcterms:modified xsi:type="dcterms:W3CDTF">2024-10-07T08:57:00Z</dcterms:modified>
</cp:coreProperties>
</file>