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1B5987" w14:textId="055E507E" w:rsidR="005F3EA3" w:rsidRDefault="005F3EA3" w:rsidP="005F3EA3">
      <w:pPr>
        <w:spacing w:after="0" w:line="240" w:lineRule="auto"/>
        <w:jc w:val="center"/>
        <w:rPr>
          <w:rFonts w:ascii="Trebuchet MS" w:hAnsi="Trebuchet MS" w:cs="Tahoma"/>
          <w:b/>
          <w:color w:val="EF671A"/>
          <w:sz w:val="28"/>
          <w:szCs w:val="28"/>
        </w:rPr>
      </w:pPr>
      <w:r>
        <w:rPr>
          <w:rFonts w:ascii="Trebuchet MS" w:hAnsi="Trebuchet MS" w:cs="Tahoma"/>
          <w:b/>
          <w:noProof/>
          <w:color w:val="EF671A"/>
          <w:sz w:val="28"/>
          <w:szCs w:val="28"/>
        </w:rPr>
        <mc:AlternateContent>
          <mc:Choice Requires="wps">
            <w:drawing>
              <wp:anchor distT="0" distB="0" distL="114300" distR="114300" simplePos="0" relativeHeight="251659264" behindDoc="0" locked="0" layoutInCell="1" allowOverlap="1" wp14:anchorId="43DF5EBF" wp14:editId="680C9928">
                <wp:simplePos x="0" y="0"/>
                <wp:positionH relativeFrom="column">
                  <wp:posOffset>1205865</wp:posOffset>
                </wp:positionH>
                <wp:positionV relativeFrom="paragraph">
                  <wp:posOffset>-695960</wp:posOffset>
                </wp:positionV>
                <wp:extent cx="5257800" cy="590550"/>
                <wp:effectExtent l="0" t="0" r="19050" b="19050"/>
                <wp:wrapNone/>
                <wp:docPr id="345504159" name="Zone de texte 2"/>
                <wp:cNvGraphicFramePr/>
                <a:graphic xmlns:a="http://schemas.openxmlformats.org/drawingml/2006/main">
                  <a:graphicData uri="http://schemas.microsoft.com/office/word/2010/wordprocessingShape">
                    <wps:wsp>
                      <wps:cNvSpPr txBox="1"/>
                      <wps:spPr>
                        <a:xfrm>
                          <a:off x="0" y="0"/>
                          <a:ext cx="5257800" cy="590550"/>
                        </a:xfrm>
                        <a:prstGeom prst="rect">
                          <a:avLst/>
                        </a:prstGeom>
                        <a:solidFill>
                          <a:schemeClr val="lt1"/>
                        </a:solidFill>
                        <a:ln w="6350">
                          <a:solidFill>
                            <a:prstClr val="black"/>
                          </a:solidFill>
                        </a:ln>
                      </wps:spPr>
                      <wps:txbx>
                        <w:txbxContent>
                          <w:p w14:paraId="7620CF4A" w14:textId="666F0199" w:rsidR="005F3EA3" w:rsidRPr="005F3EA3" w:rsidRDefault="005F3EA3" w:rsidP="00F170B1">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BULLETIN DE VEILLE REGLEMENTAIRE</w:t>
                            </w:r>
                          </w:p>
                          <w:p w14:paraId="6F27BB46" w14:textId="2AE354E8" w:rsidR="005F3EA3" w:rsidRPr="005F3EA3" w:rsidRDefault="005F3EA3" w:rsidP="00F170B1">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 xml:space="preserve">Bulletin n° </w:t>
                            </w:r>
                            <w:r w:rsidR="00A31270">
                              <w:rPr>
                                <w:rFonts w:ascii="Tenorite" w:hAnsi="Tenorite" w:cs="Tahoma"/>
                                <w:b/>
                                <w:color w:val="EF671A"/>
                                <w:sz w:val="28"/>
                                <w:szCs w:val="28"/>
                              </w:rPr>
                              <w:t xml:space="preserve">5 </w:t>
                            </w:r>
                            <w:r w:rsidRPr="005F3EA3">
                              <w:rPr>
                                <w:rFonts w:ascii="Tenorite" w:hAnsi="Tenorite" w:cs="Tahoma"/>
                                <w:b/>
                                <w:color w:val="EF671A"/>
                                <w:sz w:val="28"/>
                                <w:szCs w:val="28"/>
                              </w:rPr>
                              <w:t xml:space="preserve">du 1er au </w:t>
                            </w:r>
                            <w:r w:rsidR="00496102">
                              <w:rPr>
                                <w:rFonts w:ascii="Tenorite" w:hAnsi="Tenorite" w:cs="Tahoma"/>
                                <w:b/>
                                <w:color w:val="EF671A"/>
                                <w:sz w:val="28"/>
                                <w:szCs w:val="28"/>
                              </w:rPr>
                              <w:t>31</w:t>
                            </w:r>
                            <w:r w:rsidRPr="005F3EA3">
                              <w:rPr>
                                <w:rFonts w:ascii="Tenorite" w:hAnsi="Tenorite" w:cs="Tahoma"/>
                                <w:b/>
                                <w:color w:val="EF671A"/>
                                <w:sz w:val="28"/>
                                <w:szCs w:val="28"/>
                              </w:rPr>
                              <w:t xml:space="preserve"> </w:t>
                            </w:r>
                            <w:r w:rsidR="00496102">
                              <w:rPr>
                                <w:rFonts w:ascii="Tenorite" w:hAnsi="Tenorite" w:cs="Tahoma"/>
                                <w:b/>
                                <w:color w:val="EF671A"/>
                                <w:sz w:val="28"/>
                                <w:szCs w:val="28"/>
                              </w:rPr>
                              <w:t>octobre</w:t>
                            </w:r>
                            <w:r w:rsidRPr="005F3EA3">
                              <w:rPr>
                                <w:rFonts w:ascii="Tenorite" w:hAnsi="Tenorite" w:cs="Tahoma"/>
                                <w:b/>
                                <w:color w:val="EF671A"/>
                                <w:sz w:val="28"/>
                                <w:szCs w:val="28"/>
                              </w:rPr>
                              <w:t xml:space="preserve"> 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3DF5EBF" id="_x0000_t202" coordsize="21600,21600" o:spt="202" path="m,l,21600r21600,l21600,xe">
                <v:stroke joinstyle="miter"/>
                <v:path gradientshapeok="t" o:connecttype="rect"/>
              </v:shapetype>
              <v:shape id="Zone de texte 2" o:spid="_x0000_s1026" type="#_x0000_t202" style="position:absolute;left:0;text-align:left;margin-left:94.95pt;margin-top:-54.8pt;width:414pt;height:4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" fillcolor="white [3201]" strokeweight=".5pt">
                <v:textbox>
                  <w:txbxContent>
                    <w:p w14:paraId="7620CF4A" w14:textId="666F0199" w:rsidR="005F3EA3" w:rsidRPr="005F3EA3" w:rsidRDefault="005F3EA3" w:rsidP="00F170B1">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BULLETIN DE VEILLE REGLEMENTAIRE</w:t>
                      </w:r>
                    </w:p>
                    <w:p w14:paraId="6F27BB46" w14:textId="2AE354E8" w:rsidR="005F3EA3" w:rsidRPr="005F3EA3" w:rsidRDefault="005F3EA3" w:rsidP="00F170B1">
                      <w:pPr>
                        <w:spacing w:after="0" w:line="240" w:lineRule="auto"/>
                        <w:jc w:val="center"/>
                        <w:rPr>
                          <w:rFonts w:ascii="Tenorite" w:hAnsi="Tenorite" w:cs="Tahoma"/>
                          <w:b/>
                          <w:color w:val="EF671A"/>
                          <w:sz w:val="28"/>
                          <w:szCs w:val="28"/>
                        </w:rPr>
                      </w:pPr>
                      <w:r w:rsidRPr="005F3EA3">
                        <w:rPr>
                          <w:rFonts w:ascii="Tenorite" w:hAnsi="Tenorite" w:cs="Tahoma"/>
                          <w:b/>
                          <w:color w:val="EF671A"/>
                          <w:sz w:val="28"/>
                          <w:szCs w:val="28"/>
                        </w:rPr>
                        <w:t xml:space="preserve">Bulletin n° </w:t>
                      </w:r>
                      <w:r w:rsidR="00A31270">
                        <w:rPr>
                          <w:rFonts w:ascii="Tenorite" w:hAnsi="Tenorite" w:cs="Tahoma"/>
                          <w:b/>
                          <w:color w:val="EF671A"/>
                          <w:sz w:val="28"/>
                          <w:szCs w:val="28"/>
                        </w:rPr>
                        <w:t xml:space="preserve">5 </w:t>
                      </w:r>
                      <w:r w:rsidRPr="005F3EA3">
                        <w:rPr>
                          <w:rFonts w:ascii="Tenorite" w:hAnsi="Tenorite" w:cs="Tahoma"/>
                          <w:b/>
                          <w:color w:val="EF671A"/>
                          <w:sz w:val="28"/>
                          <w:szCs w:val="28"/>
                        </w:rPr>
                        <w:t xml:space="preserve">du 1er au </w:t>
                      </w:r>
                      <w:r w:rsidR="00496102">
                        <w:rPr>
                          <w:rFonts w:ascii="Tenorite" w:hAnsi="Tenorite" w:cs="Tahoma"/>
                          <w:b/>
                          <w:color w:val="EF671A"/>
                          <w:sz w:val="28"/>
                          <w:szCs w:val="28"/>
                        </w:rPr>
                        <w:t>31</w:t>
                      </w:r>
                      <w:r w:rsidRPr="005F3EA3">
                        <w:rPr>
                          <w:rFonts w:ascii="Tenorite" w:hAnsi="Tenorite" w:cs="Tahoma"/>
                          <w:b/>
                          <w:color w:val="EF671A"/>
                          <w:sz w:val="28"/>
                          <w:szCs w:val="28"/>
                        </w:rPr>
                        <w:t xml:space="preserve"> </w:t>
                      </w:r>
                      <w:r w:rsidR="00496102">
                        <w:rPr>
                          <w:rFonts w:ascii="Tenorite" w:hAnsi="Tenorite" w:cs="Tahoma"/>
                          <w:b/>
                          <w:color w:val="EF671A"/>
                          <w:sz w:val="28"/>
                          <w:szCs w:val="28"/>
                        </w:rPr>
                        <w:t>octobre</w:t>
                      </w:r>
                      <w:r w:rsidRPr="005F3EA3">
                        <w:rPr>
                          <w:rFonts w:ascii="Tenorite" w:hAnsi="Tenorite" w:cs="Tahoma"/>
                          <w:b/>
                          <w:color w:val="EF671A"/>
                          <w:sz w:val="28"/>
                          <w:szCs w:val="28"/>
                        </w:rPr>
                        <w:t xml:space="preserve"> 2024</w:t>
                      </w:r>
                    </w:p>
                  </w:txbxContent>
                </v:textbox>
              </v:shape>
            </w:pict>
          </mc:Fallback>
        </mc:AlternateContent>
      </w:r>
    </w:p>
    <w:p w14:paraId="6E6C5449" w14:textId="29865298" w:rsidR="002B7CB6" w:rsidRDefault="002B7CB6" w:rsidP="005F3EA3">
      <w:pPr>
        <w:spacing w:after="0" w:line="240" w:lineRule="auto"/>
        <w:jc w:val="center"/>
        <w:rPr>
          <w:rFonts w:ascii="Tenorite" w:hAnsi="Tenorite" w:cs="Tahoma"/>
          <w:b/>
          <w:color w:val="EF671A"/>
          <w:sz w:val="32"/>
          <w:szCs w:val="32"/>
          <w:u w:val="single"/>
        </w:rPr>
      </w:pPr>
      <w:r w:rsidRPr="005F3EA3">
        <w:rPr>
          <w:rFonts w:ascii="Tenorite" w:hAnsi="Tenorite" w:cs="Tahoma"/>
          <w:b/>
          <w:color w:val="EF671A"/>
          <w:sz w:val="32"/>
          <w:szCs w:val="32"/>
          <w:u w:val="single"/>
        </w:rPr>
        <w:t xml:space="preserve">Partie 1 : Règlementation générale </w:t>
      </w:r>
    </w:p>
    <w:p w14:paraId="038D2D70" w14:textId="77777777" w:rsidR="00F170B1" w:rsidRDefault="00F170B1" w:rsidP="005F3EA3">
      <w:pPr>
        <w:spacing w:after="0" w:line="240" w:lineRule="auto"/>
        <w:jc w:val="center"/>
        <w:rPr>
          <w:rFonts w:ascii="Tenorite" w:hAnsi="Tenorite" w:cs="Tahoma"/>
          <w:b/>
          <w:color w:val="EF671A"/>
          <w:sz w:val="32"/>
          <w:szCs w:val="32"/>
          <w:u w:val="single"/>
        </w:rPr>
      </w:pPr>
    </w:p>
    <w:p w14:paraId="5E4C1262" w14:textId="77777777" w:rsidR="00F170B1" w:rsidRPr="005F3EA3" w:rsidRDefault="00F170B1" w:rsidP="005F3EA3">
      <w:pPr>
        <w:spacing w:after="0" w:line="240" w:lineRule="auto"/>
        <w:jc w:val="center"/>
        <w:rPr>
          <w:rFonts w:ascii="Tenorite" w:hAnsi="Tenorite" w:cs="Tahoma"/>
          <w:b/>
          <w:color w:val="EF671A"/>
          <w:sz w:val="32"/>
          <w:szCs w:val="32"/>
          <w:u w:val="single"/>
        </w:rPr>
      </w:pPr>
    </w:p>
    <w:p w14:paraId="4CEA5421"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ADDITIFS, AUXILIAIRES, …</w:t>
      </w:r>
    </w:p>
    <w:p w14:paraId="54AA4722" w14:textId="77777777" w:rsidR="002B7CB6" w:rsidRDefault="002B7CB6" w:rsidP="00C12D1F">
      <w:pPr>
        <w:spacing w:after="0" w:line="240" w:lineRule="auto"/>
        <w:ind w:left="284" w:hanging="142"/>
        <w:jc w:val="both"/>
        <w:rPr>
          <w:rFonts w:ascii="Tenorite" w:hAnsi="Tenorite"/>
          <w:color w:val="C45911" w:themeColor="accent2" w:themeShade="BF"/>
          <w:sz w:val="20"/>
        </w:rPr>
      </w:pPr>
      <w:r w:rsidRPr="005F3EA3">
        <w:rPr>
          <w:rFonts w:ascii="Tenorite" w:hAnsi="Tenorite"/>
          <w:color w:val="C45911" w:themeColor="accent2" w:themeShade="BF"/>
          <w:sz w:val="20"/>
        </w:rPr>
        <w:t>Additifs</w:t>
      </w:r>
    </w:p>
    <w:p w14:paraId="253F69E4" w14:textId="77777777" w:rsidR="00C96EFE" w:rsidRPr="00C12D1F" w:rsidRDefault="00C96EFE" w:rsidP="00C12D1F">
      <w:pPr>
        <w:shd w:val="clear" w:color="auto" w:fill="FFFFFF"/>
        <w:spacing w:after="0" w:line="240" w:lineRule="auto"/>
        <w:ind w:left="142"/>
        <w:jc w:val="both"/>
        <w:rPr>
          <w:rFonts w:ascii="Tenorite" w:hAnsi="Tenorite"/>
          <w:sz w:val="20"/>
          <w:szCs w:val="20"/>
        </w:rPr>
      </w:pPr>
      <w:hyperlink r:id="rId7" w:history="1">
        <w:r w:rsidRPr="00C12D1F">
          <w:rPr>
            <w:rStyle w:val="Lienhypertexte"/>
            <w:rFonts w:ascii="Tenorite" w:hAnsi="Tenorite"/>
            <w:sz w:val="20"/>
            <w:szCs w:val="20"/>
          </w:rPr>
          <w:t>Règlement</w:t>
        </w:r>
      </w:hyperlink>
      <w:r w:rsidRPr="00C12D1F">
        <w:rPr>
          <w:rFonts w:ascii="Tenorite" w:hAnsi="Tenorite"/>
          <w:sz w:val="20"/>
          <w:szCs w:val="20"/>
        </w:rPr>
        <w:t xml:space="preserve"> (UE) 2024/2597 de la Commission du 4 octobre 2024 modifiant l’annexe II du règlement (CE) no 1333/2008 du Parlement européen et du Conseil en ce qui concerne l’utilisation de l’acide sorbique (E 200) et du </w:t>
      </w:r>
      <w:proofErr w:type="spellStart"/>
      <w:r w:rsidRPr="00C12D1F">
        <w:rPr>
          <w:rFonts w:ascii="Tenorite" w:hAnsi="Tenorite"/>
          <w:sz w:val="20"/>
          <w:szCs w:val="20"/>
        </w:rPr>
        <w:t>sorbate</w:t>
      </w:r>
      <w:proofErr w:type="spellEnd"/>
      <w:r w:rsidRPr="00C12D1F">
        <w:rPr>
          <w:rFonts w:ascii="Tenorite" w:hAnsi="Tenorite"/>
          <w:sz w:val="20"/>
          <w:szCs w:val="20"/>
        </w:rPr>
        <w:t xml:space="preserve"> de potassium (E 202) et l’annexe du règlement (UE) no 231/2012 de la Commission en ce qui concerne les spécifications relatives à l’acide sorbique (E 200), au </w:t>
      </w:r>
      <w:proofErr w:type="spellStart"/>
      <w:r w:rsidRPr="00C12D1F">
        <w:rPr>
          <w:rFonts w:ascii="Tenorite" w:hAnsi="Tenorite"/>
          <w:sz w:val="20"/>
          <w:szCs w:val="20"/>
        </w:rPr>
        <w:t>sorbate</w:t>
      </w:r>
      <w:proofErr w:type="spellEnd"/>
      <w:r w:rsidRPr="00C12D1F">
        <w:rPr>
          <w:rFonts w:ascii="Tenorite" w:hAnsi="Tenorite"/>
          <w:sz w:val="20"/>
          <w:szCs w:val="20"/>
        </w:rPr>
        <w:t xml:space="preserve"> de potassium (E 202) et au gallate de propyle (E 310) (JOUE 07/10/2024)</w:t>
      </w:r>
    </w:p>
    <w:p w14:paraId="7EF8AE30" w14:textId="77777777" w:rsidR="00C96EFE" w:rsidRPr="005F3EA3" w:rsidRDefault="00C96EFE" w:rsidP="00C12D1F">
      <w:pPr>
        <w:spacing w:after="0" w:line="240" w:lineRule="auto"/>
        <w:ind w:left="284" w:hanging="142"/>
        <w:jc w:val="both"/>
        <w:rPr>
          <w:rFonts w:ascii="Tenorite" w:hAnsi="Tenorite"/>
          <w:color w:val="C45911" w:themeColor="accent2" w:themeShade="BF"/>
          <w:sz w:val="20"/>
        </w:rPr>
      </w:pPr>
    </w:p>
    <w:p w14:paraId="19693B20" w14:textId="77777777" w:rsidR="002B7CB6" w:rsidRPr="005F3EA3" w:rsidRDefault="002B7CB6" w:rsidP="00C12D1F">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750E0207" w14:textId="6E3D23B1" w:rsidR="002B7CB6" w:rsidRDefault="00A31270" w:rsidP="00C12D1F">
      <w:pPr>
        <w:spacing w:after="0" w:line="240" w:lineRule="auto"/>
        <w:ind w:left="284" w:hanging="142"/>
        <w:jc w:val="both"/>
        <w:rPr>
          <w:rFonts w:ascii="Tenorite" w:eastAsia="MS Gothic" w:hAnsi="Tenorite" w:cs="Segoe UI Symbol"/>
          <w:b/>
          <w:sz w:val="28"/>
        </w:rPr>
      </w:pPr>
      <w:r>
        <w:rPr>
          <w:rFonts w:ascii="Tenorite" w:eastAsia="MS Gothic" w:hAnsi="Tenorite" w:cs="Segoe UI Symbol"/>
          <w:b/>
          <w:sz w:val="28"/>
        </w:rPr>
        <w:t>/</w:t>
      </w:r>
    </w:p>
    <w:p w14:paraId="21ECE9FF" w14:textId="77777777" w:rsidR="00A31270" w:rsidRPr="005F3EA3" w:rsidRDefault="00A31270" w:rsidP="00C12D1F">
      <w:pPr>
        <w:spacing w:after="0" w:line="240" w:lineRule="auto"/>
        <w:ind w:left="284" w:hanging="142"/>
        <w:jc w:val="both"/>
        <w:rPr>
          <w:rFonts w:ascii="Tenorite" w:eastAsia="MS Gothic" w:hAnsi="Tenorite" w:cs="Segoe UI Symbol"/>
          <w:b/>
          <w:sz w:val="28"/>
        </w:rPr>
      </w:pPr>
    </w:p>
    <w:p w14:paraId="3570CAB8" w14:textId="77777777" w:rsidR="002B7CB6" w:rsidRPr="005F3EA3" w:rsidRDefault="002B7CB6" w:rsidP="00C12D1F">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p w14:paraId="6ADF53C9" w14:textId="77777777" w:rsidR="00C12D1F" w:rsidRPr="00C12D1F" w:rsidRDefault="00C12D1F" w:rsidP="00C12D1F">
      <w:pPr>
        <w:pStyle w:val="Textebrut"/>
        <w:ind w:left="142"/>
        <w:jc w:val="both"/>
        <w:rPr>
          <w:rFonts w:ascii="Tenorite" w:hAnsi="Tenorite"/>
          <w:sz w:val="20"/>
          <w:szCs w:val="20"/>
        </w:rPr>
      </w:pPr>
      <w:hyperlink r:id="rId8" w:history="1">
        <w:r w:rsidRPr="00C12D1F">
          <w:rPr>
            <w:rStyle w:val="Lienhypertexte"/>
            <w:rFonts w:ascii="Tenorite" w:hAnsi="Tenorite"/>
            <w:sz w:val="20"/>
            <w:szCs w:val="20"/>
          </w:rPr>
          <w:t>Arrêté</w:t>
        </w:r>
      </w:hyperlink>
      <w:r w:rsidRPr="00C12D1F">
        <w:rPr>
          <w:rFonts w:ascii="Tenorite" w:hAnsi="Tenorite"/>
          <w:sz w:val="20"/>
          <w:szCs w:val="20"/>
        </w:rPr>
        <w:t xml:space="preserve"> du 15 octobre 2024 autorisant par dérogation la mise à disposition sur le marché et l'utilisation du produit biocide BIOBOR JF pour une période de 180 jours (JORF 18/10/2024)</w:t>
      </w:r>
    </w:p>
    <w:p w14:paraId="149E3C2F" w14:textId="77777777" w:rsidR="00C12D1F" w:rsidRPr="00C12D1F" w:rsidRDefault="00C12D1F" w:rsidP="00C12D1F">
      <w:pPr>
        <w:pStyle w:val="Textebrut"/>
        <w:ind w:left="142"/>
        <w:jc w:val="both"/>
        <w:rPr>
          <w:rFonts w:ascii="Tenorite" w:hAnsi="Tenorite"/>
          <w:sz w:val="20"/>
          <w:szCs w:val="20"/>
        </w:rPr>
      </w:pPr>
    </w:p>
    <w:p w14:paraId="15779BC9" w14:textId="77777777" w:rsidR="00C12D1F" w:rsidRPr="00C12D1F" w:rsidRDefault="00C12D1F" w:rsidP="00C12D1F">
      <w:pPr>
        <w:pStyle w:val="Textebrut"/>
        <w:ind w:left="142"/>
        <w:jc w:val="both"/>
        <w:rPr>
          <w:rStyle w:val="Lienhypertexte"/>
          <w:rFonts w:ascii="Tenorite" w:hAnsi="Tenorite"/>
          <w:sz w:val="20"/>
          <w:szCs w:val="20"/>
        </w:rPr>
      </w:pPr>
      <w:hyperlink r:id="rId9" w:history="1">
        <w:r w:rsidRPr="00C12D1F">
          <w:rPr>
            <w:rStyle w:val="Lienhypertexte"/>
            <w:rFonts w:ascii="Tenorite" w:hAnsi="Tenorite"/>
            <w:b/>
            <w:bCs/>
            <w:sz w:val="20"/>
            <w:szCs w:val="20"/>
          </w:rPr>
          <w:t>Arrêté</w:t>
        </w:r>
      </w:hyperlink>
      <w:r w:rsidRPr="00C12D1F">
        <w:rPr>
          <w:rFonts w:ascii="Tenorite" w:hAnsi="Tenorite"/>
          <w:sz w:val="20"/>
          <w:szCs w:val="20"/>
        </w:rPr>
        <w:t> du 23-10-2024 - Arrêté du 23 octobre 2024 portant modification de l'arrêté du 9 mai 2017 définissant les actions standardisées d'économie des produits phytopharmaceutiques (DGAL)</w:t>
      </w:r>
    </w:p>
    <w:p w14:paraId="28A03727" w14:textId="77777777" w:rsidR="00C12D1F" w:rsidRPr="00C12D1F" w:rsidRDefault="00C12D1F" w:rsidP="00C12D1F">
      <w:pPr>
        <w:pStyle w:val="Textebrut"/>
        <w:ind w:left="142"/>
        <w:jc w:val="both"/>
        <w:rPr>
          <w:rStyle w:val="Lienhypertexte"/>
          <w:rFonts w:ascii="Tenorite" w:hAnsi="Tenorite"/>
          <w:sz w:val="20"/>
          <w:szCs w:val="20"/>
        </w:rPr>
      </w:pPr>
    </w:p>
    <w:p w14:paraId="2570916F" w14:textId="77777777" w:rsidR="00C12D1F" w:rsidRPr="00C12D1F" w:rsidRDefault="00C12D1F" w:rsidP="00C12D1F">
      <w:pPr>
        <w:pStyle w:val="Textebrut"/>
        <w:ind w:left="142"/>
        <w:jc w:val="both"/>
        <w:rPr>
          <w:rStyle w:val="Lienhypertexte"/>
          <w:rFonts w:ascii="Tenorite" w:hAnsi="Tenorite"/>
          <w:sz w:val="20"/>
          <w:szCs w:val="20"/>
        </w:rPr>
      </w:pPr>
      <w:hyperlink r:id="rId10" w:history="1">
        <w:r w:rsidRPr="00C12D1F">
          <w:rPr>
            <w:rStyle w:val="Lienhypertexte"/>
            <w:rFonts w:ascii="Tenorite" w:hAnsi="Tenorite"/>
            <w:sz w:val="20"/>
            <w:szCs w:val="20"/>
          </w:rPr>
          <w:t>Décision nº 456108</w:t>
        </w:r>
      </w:hyperlink>
      <w:r w:rsidRPr="00C12D1F">
        <w:rPr>
          <w:rStyle w:val="Lienhypertexte"/>
          <w:rFonts w:ascii="Tenorite" w:hAnsi="Tenorite"/>
          <w:color w:val="auto"/>
          <w:sz w:val="20"/>
          <w:szCs w:val="20"/>
        </w:rPr>
        <w:t>, Requête nº 24-539 [Glyphosate] (Conseil d'État, Chambres réunies, 23/10/2024)</w:t>
      </w:r>
    </w:p>
    <w:p w14:paraId="6A8826FD" w14:textId="77777777" w:rsidR="00C12D1F" w:rsidRPr="00C12D1F" w:rsidRDefault="00C12D1F" w:rsidP="00C12D1F">
      <w:pPr>
        <w:pStyle w:val="Textebrut"/>
        <w:ind w:left="142"/>
        <w:jc w:val="both"/>
        <w:rPr>
          <w:rStyle w:val="Lienhypertexte"/>
          <w:rFonts w:ascii="Tenorite" w:hAnsi="Tenorite"/>
          <w:sz w:val="20"/>
          <w:szCs w:val="20"/>
        </w:rPr>
      </w:pPr>
    </w:p>
    <w:p w14:paraId="044CA5AF" w14:textId="77777777" w:rsidR="00C12D1F" w:rsidRPr="00C12D1F" w:rsidRDefault="00C12D1F" w:rsidP="00C12D1F">
      <w:pPr>
        <w:pStyle w:val="Textebrut"/>
        <w:ind w:left="142"/>
        <w:jc w:val="both"/>
        <w:rPr>
          <w:rFonts w:ascii="Tenorite" w:hAnsi="Tenorite"/>
          <w:sz w:val="20"/>
          <w:szCs w:val="20"/>
        </w:rPr>
      </w:pPr>
      <w:hyperlink r:id="rId11" w:history="1">
        <w:r w:rsidRPr="00C12D1F">
          <w:rPr>
            <w:rStyle w:val="Lienhypertexte"/>
            <w:rFonts w:ascii="Tenorite" w:hAnsi="Tenorite"/>
            <w:sz w:val="20"/>
            <w:szCs w:val="20"/>
          </w:rPr>
          <w:t>Règlement</w:t>
        </w:r>
      </w:hyperlink>
      <w:r w:rsidRPr="00C12D1F">
        <w:rPr>
          <w:rFonts w:ascii="Tenorite" w:hAnsi="Tenorite"/>
          <w:sz w:val="20"/>
          <w:szCs w:val="20"/>
        </w:rPr>
        <w:t xml:space="preserve"> d’exécution (UE) 2024/2576 de la Commission du 2 octobre 2024 approuvant la substance active 2,2-diméthyl-3-(2-méthylprop-1-ényl)</w:t>
      </w:r>
      <w:proofErr w:type="spellStart"/>
      <w:r w:rsidRPr="00C12D1F">
        <w:rPr>
          <w:rFonts w:ascii="Tenorite" w:hAnsi="Tenorite"/>
          <w:sz w:val="20"/>
          <w:szCs w:val="20"/>
        </w:rPr>
        <w:t>cyclopropanecarboxylate</w:t>
      </w:r>
      <w:proofErr w:type="spellEnd"/>
      <w:r w:rsidRPr="00C12D1F">
        <w:rPr>
          <w:rFonts w:ascii="Tenorite" w:hAnsi="Tenorite"/>
          <w:sz w:val="20"/>
          <w:szCs w:val="20"/>
        </w:rPr>
        <w:t xml:space="preserve"> de 2-méthyl-4-oxo-3-(prop-2-ynyl)cyclopent-2-én-1-yle (</w:t>
      </w:r>
      <w:proofErr w:type="spellStart"/>
      <w:r w:rsidRPr="00C12D1F">
        <w:rPr>
          <w:rFonts w:ascii="Tenorite" w:hAnsi="Tenorite"/>
          <w:sz w:val="20"/>
          <w:szCs w:val="20"/>
        </w:rPr>
        <w:t>pralléthrine</w:t>
      </w:r>
      <w:proofErr w:type="spellEnd"/>
      <w:r w:rsidRPr="00C12D1F">
        <w:rPr>
          <w:rFonts w:ascii="Tenorite" w:hAnsi="Tenorite"/>
          <w:sz w:val="20"/>
          <w:szCs w:val="20"/>
        </w:rPr>
        <w:t>) en tant que substance active existante destinée à être utilisée dans les produits biocides relevant du type de produits 18 conformément au règlement (UE) no 528/2012 du Parlement européen et du Conseil (JOUE 03/10/2024)</w:t>
      </w:r>
    </w:p>
    <w:p w14:paraId="0B7CE206" w14:textId="77777777" w:rsidR="00C12D1F" w:rsidRPr="00C12D1F" w:rsidRDefault="00C12D1F" w:rsidP="00C12D1F">
      <w:pPr>
        <w:pStyle w:val="Textebrut"/>
        <w:ind w:left="142"/>
        <w:jc w:val="both"/>
        <w:rPr>
          <w:rFonts w:ascii="Tenorite" w:hAnsi="Tenorite"/>
          <w:sz w:val="20"/>
          <w:szCs w:val="20"/>
        </w:rPr>
      </w:pPr>
    </w:p>
    <w:p w14:paraId="50F7C38A" w14:textId="77777777" w:rsidR="00C12D1F" w:rsidRPr="00C12D1F" w:rsidRDefault="00C12D1F" w:rsidP="00C12D1F">
      <w:pPr>
        <w:pStyle w:val="Textebrut"/>
        <w:ind w:left="142"/>
        <w:jc w:val="both"/>
        <w:rPr>
          <w:rFonts w:ascii="Tenorite" w:hAnsi="Tenorite"/>
          <w:sz w:val="20"/>
          <w:szCs w:val="20"/>
        </w:rPr>
      </w:pPr>
      <w:hyperlink r:id="rId12" w:history="1">
        <w:r w:rsidRPr="00C12D1F">
          <w:rPr>
            <w:rStyle w:val="Lienhypertexte"/>
            <w:rFonts w:ascii="Tenorite" w:hAnsi="Tenorite"/>
            <w:sz w:val="20"/>
            <w:szCs w:val="20"/>
          </w:rPr>
          <w:t>Règlement</w:t>
        </w:r>
      </w:hyperlink>
      <w:r w:rsidRPr="00C12D1F">
        <w:rPr>
          <w:rFonts w:ascii="Tenorite" w:hAnsi="Tenorite"/>
          <w:sz w:val="20"/>
          <w:szCs w:val="20"/>
        </w:rPr>
        <w:t xml:space="preserve"> d’exécution (UE) 2024/2587 de la Commission du 2 octobre 2024 octroyant une autorisation de l’Union pour la famille de produits biocides dénommée </w:t>
      </w:r>
      <w:proofErr w:type="spellStart"/>
      <w:r w:rsidRPr="00C12D1F">
        <w:rPr>
          <w:rFonts w:ascii="Tenorite" w:hAnsi="Tenorite"/>
          <w:sz w:val="20"/>
          <w:szCs w:val="20"/>
        </w:rPr>
        <w:t>Divosan</w:t>
      </w:r>
      <w:proofErr w:type="spellEnd"/>
      <w:r w:rsidRPr="00C12D1F">
        <w:rPr>
          <w:rFonts w:ascii="Tenorite" w:hAnsi="Tenorite"/>
          <w:sz w:val="20"/>
          <w:szCs w:val="20"/>
        </w:rPr>
        <w:t xml:space="preserve"> PAA </w:t>
      </w:r>
      <w:proofErr w:type="spellStart"/>
      <w:r w:rsidRPr="00C12D1F">
        <w:rPr>
          <w:rFonts w:ascii="Tenorite" w:hAnsi="Tenorite"/>
          <w:sz w:val="20"/>
          <w:szCs w:val="20"/>
        </w:rPr>
        <w:t>products</w:t>
      </w:r>
      <w:proofErr w:type="spellEnd"/>
      <w:r w:rsidRPr="00C12D1F">
        <w:rPr>
          <w:rFonts w:ascii="Tenorite" w:hAnsi="Tenorite"/>
          <w:sz w:val="20"/>
          <w:szCs w:val="20"/>
        </w:rPr>
        <w:t xml:space="preserve"> conformément au règlement (UE) no 528/2012 du Parlement européen et du Conseil (JOUE 03/10/2024)</w:t>
      </w:r>
      <w:r w:rsidRPr="00C12D1F">
        <w:rPr>
          <w:rFonts w:ascii="Tenorite" w:hAnsi="Tenorite"/>
          <w:sz w:val="20"/>
          <w:szCs w:val="20"/>
        </w:rPr>
        <w:br/>
      </w:r>
    </w:p>
    <w:p w14:paraId="4C156A49" w14:textId="77777777" w:rsidR="00C12D1F" w:rsidRPr="00C12D1F" w:rsidRDefault="00C12D1F" w:rsidP="00C12D1F">
      <w:pPr>
        <w:pStyle w:val="Textebrut"/>
        <w:ind w:left="142"/>
        <w:jc w:val="both"/>
        <w:rPr>
          <w:rFonts w:ascii="Tenorite" w:hAnsi="Tenorite"/>
          <w:sz w:val="20"/>
          <w:szCs w:val="20"/>
        </w:rPr>
      </w:pPr>
      <w:hyperlink r:id="rId13" w:history="1">
        <w:r w:rsidRPr="00C12D1F">
          <w:rPr>
            <w:rStyle w:val="Lienhypertexte"/>
            <w:rFonts w:ascii="Tenorite" w:hAnsi="Tenorite"/>
            <w:sz w:val="20"/>
            <w:szCs w:val="20"/>
          </w:rPr>
          <w:t>Règlement</w:t>
        </w:r>
      </w:hyperlink>
      <w:r w:rsidRPr="00C12D1F">
        <w:rPr>
          <w:rFonts w:ascii="Tenorite" w:hAnsi="Tenorite"/>
          <w:sz w:val="20"/>
          <w:szCs w:val="20"/>
        </w:rPr>
        <w:t xml:space="preserve"> d’exécution (UE) 2024/2635 de la Commission du 3 octobre 2024 approuvant la zéolite d’argent et de zinc en tant que substance active existante destinée à être utilisée dans des produits biocides relevant des types de produits 2, 7 et 9, conformément au règlement (UE) no 528/2012 du Parlement européen et du Conseil (JOUE 04/10/2024)</w:t>
      </w:r>
    </w:p>
    <w:p w14:paraId="6C9B5499" w14:textId="77777777" w:rsidR="00C12D1F" w:rsidRPr="00C12D1F" w:rsidRDefault="00C12D1F" w:rsidP="00C12D1F">
      <w:pPr>
        <w:pStyle w:val="Textebrut"/>
        <w:ind w:left="142"/>
        <w:jc w:val="both"/>
        <w:rPr>
          <w:rFonts w:ascii="Tenorite" w:hAnsi="Tenorite"/>
          <w:sz w:val="20"/>
          <w:szCs w:val="20"/>
        </w:rPr>
      </w:pPr>
    </w:p>
    <w:p w14:paraId="6A08ED14" w14:textId="77777777" w:rsidR="00C12D1F" w:rsidRPr="00C12D1F" w:rsidRDefault="00C12D1F" w:rsidP="00C12D1F">
      <w:pPr>
        <w:pStyle w:val="Textebrut"/>
        <w:ind w:left="142"/>
        <w:jc w:val="both"/>
        <w:rPr>
          <w:rFonts w:ascii="Tenorite" w:hAnsi="Tenorite"/>
          <w:sz w:val="20"/>
          <w:szCs w:val="20"/>
        </w:rPr>
      </w:pPr>
      <w:hyperlink r:id="rId14" w:history="1">
        <w:r w:rsidRPr="00C12D1F">
          <w:rPr>
            <w:rStyle w:val="Lienhypertexte"/>
            <w:rFonts w:ascii="Tenorite" w:hAnsi="Tenorite"/>
            <w:sz w:val="20"/>
            <w:szCs w:val="20"/>
          </w:rPr>
          <w:t>Règlement</w:t>
        </w:r>
      </w:hyperlink>
      <w:r w:rsidRPr="00C12D1F">
        <w:rPr>
          <w:rFonts w:ascii="Tenorite" w:hAnsi="Tenorite"/>
          <w:sz w:val="20"/>
          <w:szCs w:val="20"/>
        </w:rPr>
        <w:t xml:space="preserve"> d’exécution (UE) 2024/2679 de la Commission du 15 octobre 2024 modifiant le règlement d’exécution (UE) 2019/2076 pour apporter des modifications administratives et une modification mineure à l’autorisation de l’Union pour la famille de produits biocides dénommée famille de produits </w:t>
      </w:r>
      <w:proofErr w:type="spellStart"/>
      <w:r w:rsidRPr="00C12D1F">
        <w:rPr>
          <w:rFonts w:ascii="Tenorite" w:hAnsi="Tenorite"/>
          <w:sz w:val="20"/>
          <w:szCs w:val="20"/>
        </w:rPr>
        <w:t>Contec</w:t>
      </w:r>
      <w:proofErr w:type="spellEnd"/>
      <w:r w:rsidRPr="00C12D1F">
        <w:rPr>
          <w:rFonts w:ascii="Tenorite" w:hAnsi="Tenorite"/>
          <w:sz w:val="20"/>
          <w:szCs w:val="20"/>
        </w:rPr>
        <w:t xml:space="preserve"> IPA (JOUE 16/10/2024)</w:t>
      </w:r>
    </w:p>
    <w:p w14:paraId="737C0FB3" w14:textId="77777777" w:rsidR="00C12D1F" w:rsidRPr="00C12D1F" w:rsidRDefault="00C12D1F" w:rsidP="00C12D1F">
      <w:pPr>
        <w:pStyle w:val="Textebrut"/>
        <w:ind w:left="142"/>
        <w:jc w:val="both"/>
        <w:rPr>
          <w:rFonts w:ascii="Tenorite" w:hAnsi="Tenorite"/>
          <w:sz w:val="20"/>
          <w:szCs w:val="20"/>
        </w:rPr>
      </w:pPr>
    </w:p>
    <w:p w14:paraId="79733465" w14:textId="77777777" w:rsidR="00C12D1F" w:rsidRPr="00C12D1F" w:rsidRDefault="00C12D1F" w:rsidP="00C12D1F">
      <w:pPr>
        <w:pStyle w:val="Textebrut"/>
        <w:ind w:left="142"/>
        <w:jc w:val="both"/>
        <w:rPr>
          <w:rFonts w:ascii="Tenorite" w:hAnsi="Tenorite"/>
          <w:sz w:val="20"/>
          <w:szCs w:val="20"/>
        </w:rPr>
      </w:pPr>
      <w:hyperlink r:id="rId15" w:history="1">
        <w:r w:rsidRPr="00C12D1F">
          <w:rPr>
            <w:rStyle w:val="Lienhypertexte"/>
            <w:rFonts w:ascii="Tenorite" w:hAnsi="Tenorite"/>
            <w:sz w:val="20"/>
            <w:szCs w:val="20"/>
          </w:rPr>
          <w:t>Règlement</w:t>
        </w:r>
      </w:hyperlink>
      <w:r w:rsidRPr="00C12D1F">
        <w:rPr>
          <w:rFonts w:ascii="Tenorite" w:hAnsi="Tenorite"/>
          <w:sz w:val="20"/>
          <w:szCs w:val="20"/>
        </w:rPr>
        <w:t xml:space="preserve"> d’exécution (UE) 2024/2750 de la Commission du 25 octobre 2024 accordant une autorisation de l’Union pour la famille de produits biocides dénommée LANXESS CMIT/MIT </w:t>
      </w:r>
      <w:proofErr w:type="spellStart"/>
      <w:r w:rsidRPr="00C12D1F">
        <w:rPr>
          <w:rFonts w:ascii="Tenorite" w:hAnsi="Tenorite"/>
          <w:sz w:val="20"/>
          <w:szCs w:val="20"/>
        </w:rPr>
        <w:t>biocidal</w:t>
      </w:r>
      <w:proofErr w:type="spellEnd"/>
      <w:r w:rsidRPr="00C12D1F">
        <w:rPr>
          <w:rFonts w:ascii="Tenorite" w:hAnsi="Tenorite"/>
          <w:sz w:val="20"/>
          <w:szCs w:val="20"/>
        </w:rPr>
        <w:t xml:space="preserve"> </w:t>
      </w:r>
      <w:proofErr w:type="spellStart"/>
      <w:r w:rsidRPr="00C12D1F">
        <w:rPr>
          <w:rFonts w:ascii="Tenorite" w:hAnsi="Tenorite"/>
          <w:sz w:val="20"/>
          <w:szCs w:val="20"/>
        </w:rPr>
        <w:t>product</w:t>
      </w:r>
      <w:proofErr w:type="spellEnd"/>
      <w:r w:rsidRPr="00C12D1F">
        <w:rPr>
          <w:rFonts w:ascii="Tenorite" w:hAnsi="Tenorite"/>
          <w:sz w:val="20"/>
          <w:szCs w:val="20"/>
        </w:rPr>
        <w:t xml:space="preserve"> </w:t>
      </w:r>
      <w:proofErr w:type="spellStart"/>
      <w:r w:rsidRPr="00C12D1F">
        <w:rPr>
          <w:rFonts w:ascii="Tenorite" w:hAnsi="Tenorite"/>
          <w:sz w:val="20"/>
          <w:szCs w:val="20"/>
        </w:rPr>
        <w:t>family</w:t>
      </w:r>
      <w:proofErr w:type="spellEnd"/>
      <w:r w:rsidRPr="00C12D1F">
        <w:rPr>
          <w:rFonts w:ascii="Tenorite" w:hAnsi="Tenorite"/>
          <w:sz w:val="20"/>
          <w:szCs w:val="20"/>
        </w:rPr>
        <w:t xml:space="preserve"> conformément au règlement (UE) no 528/2012 du Parlement européen et du Conseil (JOUE 28/10/2024)</w:t>
      </w:r>
    </w:p>
    <w:p w14:paraId="53ADF5F6" w14:textId="77777777" w:rsidR="00C12D1F" w:rsidRPr="00C12D1F" w:rsidRDefault="00C12D1F" w:rsidP="00C12D1F">
      <w:pPr>
        <w:pStyle w:val="Textebrut"/>
        <w:ind w:left="142"/>
        <w:jc w:val="both"/>
        <w:rPr>
          <w:rFonts w:ascii="Tenorite" w:hAnsi="Tenorite"/>
          <w:sz w:val="20"/>
          <w:szCs w:val="20"/>
        </w:rPr>
      </w:pPr>
    </w:p>
    <w:p w14:paraId="53C1AE2A" w14:textId="77777777" w:rsidR="00C12D1F" w:rsidRPr="00C12D1F" w:rsidRDefault="00C12D1F" w:rsidP="00C12D1F">
      <w:pPr>
        <w:pStyle w:val="Textebrut"/>
        <w:ind w:left="142"/>
        <w:jc w:val="both"/>
        <w:rPr>
          <w:rFonts w:ascii="Tenorite" w:hAnsi="Tenorite"/>
          <w:sz w:val="20"/>
          <w:szCs w:val="20"/>
        </w:rPr>
      </w:pPr>
      <w:hyperlink r:id="rId16" w:history="1">
        <w:r w:rsidRPr="00C12D1F">
          <w:rPr>
            <w:rStyle w:val="Lienhypertexte"/>
            <w:rFonts w:ascii="Tenorite" w:hAnsi="Tenorite"/>
            <w:sz w:val="20"/>
            <w:szCs w:val="20"/>
          </w:rPr>
          <w:t>Décision</w:t>
        </w:r>
      </w:hyperlink>
      <w:r w:rsidRPr="00C12D1F">
        <w:rPr>
          <w:rFonts w:ascii="Tenorite" w:hAnsi="Tenorite"/>
          <w:sz w:val="20"/>
          <w:szCs w:val="20"/>
        </w:rPr>
        <w:t xml:space="preserve"> d’exécution (UE) 2024/2712 de la Commission du 23 octobre 2024 relative aux objections non résolues concernant les conditions d’octroi d’une autorisation pour le produit biocide </w:t>
      </w:r>
      <w:proofErr w:type="spellStart"/>
      <w:r w:rsidRPr="00C12D1F">
        <w:rPr>
          <w:rFonts w:ascii="Tenorite" w:hAnsi="Tenorite"/>
          <w:sz w:val="20"/>
          <w:szCs w:val="20"/>
        </w:rPr>
        <w:t>Phenogen</w:t>
      </w:r>
      <w:proofErr w:type="spellEnd"/>
      <w:r w:rsidRPr="00C12D1F">
        <w:rPr>
          <w:rFonts w:ascii="Tenorite" w:hAnsi="Tenorite"/>
          <w:sz w:val="20"/>
          <w:szCs w:val="20"/>
        </w:rPr>
        <w:t xml:space="preserve"> conformément au règlement (UE) no 528/2012 du Parlement européen et du Conseil (JOUE 28/10/2024)</w:t>
      </w:r>
    </w:p>
    <w:p w14:paraId="48436C41" w14:textId="77777777" w:rsidR="00C12D1F" w:rsidRPr="00C12D1F" w:rsidRDefault="00C12D1F" w:rsidP="00C12D1F">
      <w:pPr>
        <w:pStyle w:val="Textebrut"/>
        <w:ind w:left="142"/>
        <w:jc w:val="both"/>
        <w:rPr>
          <w:rFonts w:ascii="Tenorite" w:hAnsi="Tenorite"/>
          <w:sz w:val="20"/>
          <w:szCs w:val="20"/>
        </w:rPr>
      </w:pPr>
    </w:p>
    <w:p w14:paraId="5D9CE223" w14:textId="77777777" w:rsidR="00C12D1F" w:rsidRPr="00C12D1F" w:rsidRDefault="00C12D1F" w:rsidP="00C12D1F">
      <w:pPr>
        <w:pStyle w:val="Textebrut"/>
        <w:ind w:left="142"/>
        <w:jc w:val="both"/>
        <w:rPr>
          <w:rFonts w:ascii="Tenorite" w:hAnsi="Tenorite"/>
          <w:sz w:val="20"/>
          <w:szCs w:val="20"/>
        </w:rPr>
      </w:pPr>
      <w:hyperlink r:id="rId17" w:history="1">
        <w:r w:rsidRPr="00C12D1F">
          <w:rPr>
            <w:rStyle w:val="Lienhypertexte"/>
            <w:rFonts w:ascii="Tenorite" w:hAnsi="Tenorite"/>
            <w:sz w:val="20"/>
            <w:szCs w:val="20"/>
          </w:rPr>
          <w:t>Règlement</w:t>
        </w:r>
      </w:hyperlink>
      <w:r w:rsidRPr="00C12D1F">
        <w:rPr>
          <w:rFonts w:ascii="Tenorite" w:hAnsi="Tenorite"/>
          <w:sz w:val="20"/>
          <w:szCs w:val="20"/>
        </w:rPr>
        <w:t xml:space="preserve"> d’exécution (UE) 2024/2766 de la Commission du 30 octobre 2024 concernant la non-approbation de la 1,3,7-triméthylxanthine (caféine) en tant que substance de base conformément au règlement (CE) no 1107/2009 du Parlement européen et du Conseil concernant la mise sur le marché des produits phytopharmaceutiques (JOUE 31/10/2024)</w:t>
      </w:r>
    </w:p>
    <w:p w14:paraId="6630880B" w14:textId="77777777" w:rsidR="002B7CB6" w:rsidRPr="005F3EA3" w:rsidRDefault="002B7CB6" w:rsidP="00C12D1F">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F3EA3">
        <w:rPr>
          <w:rFonts w:ascii="Tenorite" w:hAnsi="Tenorite"/>
          <w:b/>
          <w:color w:val="833C0B" w:themeColor="accent2" w:themeShade="80"/>
          <w:sz w:val="24"/>
        </w:rPr>
        <w:t>CONTAMINANTS</w:t>
      </w:r>
    </w:p>
    <w:p w14:paraId="4929FD01" w14:textId="77777777" w:rsidR="002B7CB6" w:rsidRDefault="002B7CB6" w:rsidP="00C12D1F">
      <w:pPr>
        <w:spacing w:after="0" w:line="240" w:lineRule="auto"/>
        <w:ind w:left="284" w:hanging="142"/>
        <w:jc w:val="both"/>
        <w:rPr>
          <w:rFonts w:ascii="Tenorite" w:hAnsi="Tenorite"/>
          <w:color w:val="C45911" w:themeColor="accent2" w:themeShade="BF"/>
          <w:sz w:val="20"/>
        </w:rPr>
      </w:pPr>
      <w:r w:rsidRPr="005F3EA3">
        <w:rPr>
          <w:rFonts w:ascii="Tenorite" w:hAnsi="Tenorite"/>
          <w:color w:val="C45911" w:themeColor="accent2" w:themeShade="BF"/>
          <w:sz w:val="20"/>
        </w:rPr>
        <w:t>Pesticides</w:t>
      </w:r>
    </w:p>
    <w:p w14:paraId="5D62256A" w14:textId="77777777" w:rsidR="00C96EFE" w:rsidRDefault="00C96EFE" w:rsidP="00C12D1F">
      <w:pPr>
        <w:shd w:val="clear" w:color="auto" w:fill="FFFFFF"/>
        <w:spacing w:after="0" w:line="240" w:lineRule="auto"/>
        <w:ind w:left="142"/>
        <w:jc w:val="both"/>
        <w:rPr>
          <w:rFonts w:ascii="Tenorite" w:hAnsi="Tenorite"/>
          <w:sz w:val="20"/>
          <w:szCs w:val="20"/>
        </w:rPr>
      </w:pPr>
      <w:hyperlink r:id="rId18" w:history="1">
        <w:r w:rsidRPr="00C12D1F">
          <w:rPr>
            <w:rStyle w:val="Lienhypertexte"/>
            <w:rFonts w:ascii="Tenorite" w:hAnsi="Tenorite"/>
            <w:sz w:val="20"/>
            <w:szCs w:val="20"/>
          </w:rPr>
          <w:t>Règlement</w:t>
        </w:r>
      </w:hyperlink>
      <w:r w:rsidRPr="00C12D1F">
        <w:rPr>
          <w:rFonts w:ascii="Tenorite" w:hAnsi="Tenorite"/>
          <w:sz w:val="20"/>
          <w:szCs w:val="20"/>
        </w:rPr>
        <w:t xml:space="preserve"> (UE) 2024/2609 de la Commission du 7 octobre 2024 modifiant l’annexe II du règlement (CE) no 396/2005 du Parlement européen et du Conseil en ce qui concerne les limites maximales applicables aux résidus de napropamide, de pyridabène et de </w:t>
      </w:r>
      <w:proofErr w:type="spellStart"/>
      <w:r w:rsidRPr="00C12D1F">
        <w:rPr>
          <w:rFonts w:ascii="Tenorite" w:hAnsi="Tenorite"/>
          <w:sz w:val="20"/>
          <w:szCs w:val="20"/>
        </w:rPr>
        <w:t>tebufenpyrad</w:t>
      </w:r>
      <w:proofErr w:type="spellEnd"/>
      <w:r w:rsidRPr="00C12D1F">
        <w:rPr>
          <w:rFonts w:ascii="Tenorite" w:hAnsi="Tenorite"/>
          <w:sz w:val="20"/>
          <w:szCs w:val="20"/>
        </w:rPr>
        <w:t xml:space="preserve"> présents dans ou sur certains produits (JOUE 08/10/2024)</w:t>
      </w:r>
    </w:p>
    <w:p w14:paraId="490023AE" w14:textId="77777777" w:rsidR="00C12D1F" w:rsidRPr="00C12D1F" w:rsidRDefault="00C12D1F" w:rsidP="00C12D1F">
      <w:pPr>
        <w:shd w:val="clear" w:color="auto" w:fill="FFFFFF"/>
        <w:spacing w:after="0" w:line="240" w:lineRule="auto"/>
        <w:ind w:left="142"/>
        <w:jc w:val="both"/>
        <w:rPr>
          <w:rFonts w:ascii="Tenorite" w:hAnsi="Tenorite"/>
          <w:sz w:val="20"/>
          <w:szCs w:val="20"/>
        </w:rPr>
      </w:pPr>
    </w:p>
    <w:p w14:paraId="19423764" w14:textId="77777777" w:rsidR="00C96EFE" w:rsidRDefault="00C96EFE" w:rsidP="00C12D1F">
      <w:pPr>
        <w:shd w:val="clear" w:color="auto" w:fill="FFFFFF"/>
        <w:spacing w:after="0" w:line="240" w:lineRule="auto"/>
        <w:ind w:left="142"/>
        <w:jc w:val="both"/>
        <w:rPr>
          <w:rFonts w:ascii="Tenorite" w:hAnsi="Tenorite"/>
          <w:sz w:val="20"/>
          <w:szCs w:val="20"/>
        </w:rPr>
      </w:pPr>
      <w:hyperlink r:id="rId19" w:history="1">
        <w:r w:rsidRPr="00C12D1F">
          <w:rPr>
            <w:rStyle w:val="Lienhypertexte"/>
            <w:rFonts w:ascii="Tenorite" w:hAnsi="Tenorite"/>
            <w:sz w:val="20"/>
            <w:szCs w:val="20"/>
          </w:rPr>
          <w:t>Règlement</w:t>
        </w:r>
      </w:hyperlink>
      <w:r w:rsidRPr="00C12D1F">
        <w:rPr>
          <w:rFonts w:ascii="Tenorite" w:hAnsi="Tenorite"/>
          <w:sz w:val="20"/>
          <w:szCs w:val="20"/>
        </w:rPr>
        <w:t xml:space="preserve"> (UE) 2024/2612 de la Commission du 7 octobre 2024 modifiant les annexes II, III et IV du règlement (CE) no 396/2005 du Parlement européen et du Conseil en ce qui concerne les limites maximales applicables aux résidus de </w:t>
      </w:r>
      <w:proofErr w:type="spellStart"/>
      <w:r w:rsidRPr="00C12D1F">
        <w:rPr>
          <w:rFonts w:ascii="Tenorite" w:hAnsi="Tenorite"/>
          <w:sz w:val="20"/>
          <w:szCs w:val="20"/>
        </w:rPr>
        <w:t>chitosane</w:t>
      </w:r>
      <w:proofErr w:type="spellEnd"/>
      <w:r w:rsidRPr="00C12D1F">
        <w:rPr>
          <w:rFonts w:ascii="Tenorite" w:hAnsi="Tenorite"/>
          <w:sz w:val="20"/>
          <w:szCs w:val="20"/>
        </w:rPr>
        <w:t xml:space="preserve">, de </w:t>
      </w:r>
      <w:proofErr w:type="spellStart"/>
      <w:r w:rsidRPr="00C12D1F">
        <w:rPr>
          <w:rFonts w:ascii="Tenorite" w:hAnsi="Tenorite"/>
          <w:sz w:val="20"/>
          <w:szCs w:val="20"/>
        </w:rPr>
        <w:t>clopyralide</w:t>
      </w:r>
      <w:proofErr w:type="spellEnd"/>
      <w:r w:rsidRPr="00C12D1F">
        <w:rPr>
          <w:rFonts w:ascii="Tenorite" w:hAnsi="Tenorite"/>
          <w:sz w:val="20"/>
          <w:szCs w:val="20"/>
        </w:rPr>
        <w:t xml:space="preserve">, de difénoconazole, de résidus de distillation de graisses, de flonicamide, de protéines hydrolysées et de </w:t>
      </w:r>
      <w:proofErr w:type="spellStart"/>
      <w:r w:rsidRPr="00C12D1F">
        <w:rPr>
          <w:rFonts w:ascii="Tenorite" w:hAnsi="Tenorite"/>
          <w:sz w:val="20"/>
          <w:szCs w:val="20"/>
        </w:rPr>
        <w:t>sénécioate</w:t>
      </w:r>
      <w:proofErr w:type="spellEnd"/>
      <w:r w:rsidRPr="00C12D1F">
        <w:rPr>
          <w:rFonts w:ascii="Tenorite" w:hAnsi="Tenorite"/>
          <w:sz w:val="20"/>
          <w:szCs w:val="20"/>
        </w:rPr>
        <w:t xml:space="preserve"> de </w:t>
      </w:r>
      <w:proofErr w:type="spellStart"/>
      <w:r w:rsidRPr="00C12D1F">
        <w:rPr>
          <w:rFonts w:ascii="Tenorite" w:hAnsi="Tenorite"/>
          <w:sz w:val="20"/>
          <w:szCs w:val="20"/>
        </w:rPr>
        <w:t>lavandulyle</w:t>
      </w:r>
      <w:proofErr w:type="spellEnd"/>
      <w:r w:rsidRPr="00C12D1F">
        <w:rPr>
          <w:rFonts w:ascii="Tenorite" w:hAnsi="Tenorite"/>
          <w:sz w:val="20"/>
          <w:szCs w:val="20"/>
        </w:rPr>
        <w:t xml:space="preserve"> présents dans ou sur certains produits (JOUE 08/10/2024)</w:t>
      </w:r>
    </w:p>
    <w:p w14:paraId="486D0BB8" w14:textId="77777777" w:rsidR="00C12D1F" w:rsidRPr="00C12D1F" w:rsidRDefault="00C12D1F" w:rsidP="00C12D1F">
      <w:pPr>
        <w:shd w:val="clear" w:color="auto" w:fill="FFFFFF"/>
        <w:spacing w:after="0" w:line="240" w:lineRule="auto"/>
        <w:ind w:left="142"/>
        <w:jc w:val="both"/>
        <w:rPr>
          <w:rFonts w:ascii="Tenorite" w:hAnsi="Tenorite"/>
          <w:sz w:val="20"/>
          <w:szCs w:val="20"/>
        </w:rPr>
      </w:pPr>
    </w:p>
    <w:p w14:paraId="1C53AFAD" w14:textId="77777777" w:rsidR="00C96EFE" w:rsidRDefault="00C96EFE" w:rsidP="00C12D1F">
      <w:pPr>
        <w:shd w:val="clear" w:color="auto" w:fill="FFFFFF"/>
        <w:spacing w:after="0" w:line="240" w:lineRule="auto"/>
        <w:ind w:left="142"/>
        <w:jc w:val="both"/>
        <w:rPr>
          <w:rFonts w:ascii="Tenorite" w:hAnsi="Tenorite"/>
          <w:sz w:val="20"/>
          <w:szCs w:val="20"/>
        </w:rPr>
      </w:pPr>
      <w:hyperlink r:id="rId20" w:history="1">
        <w:r w:rsidRPr="00C12D1F">
          <w:rPr>
            <w:rStyle w:val="Lienhypertexte"/>
            <w:rFonts w:ascii="Tenorite" w:hAnsi="Tenorite"/>
            <w:sz w:val="20"/>
            <w:szCs w:val="20"/>
          </w:rPr>
          <w:t>Règlement</w:t>
        </w:r>
      </w:hyperlink>
      <w:r w:rsidRPr="00C12D1F">
        <w:rPr>
          <w:rFonts w:ascii="Tenorite" w:hAnsi="Tenorite"/>
          <w:sz w:val="20"/>
          <w:szCs w:val="20"/>
        </w:rPr>
        <w:t xml:space="preserve"> (UE) 2024/2619 de la Commission du 8 octobre 2024 modifiant les annexes II et III du règlement (CE) no 396/2005 du Parlement européen et du Conseil en ce qui concerne les limites maximales applicables aux résidus de </w:t>
      </w:r>
      <w:proofErr w:type="spellStart"/>
      <w:r w:rsidRPr="00C12D1F">
        <w:rPr>
          <w:rFonts w:ascii="Tenorite" w:hAnsi="Tenorite"/>
          <w:sz w:val="20"/>
          <w:szCs w:val="20"/>
        </w:rPr>
        <w:t>fosétyl</w:t>
      </w:r>
      <w:proofErr w:type="spellEnd"/>
      <w:r w:rsidRPr="00C12D1F">
        <w:rPr>
          <w:rFonts w:ascii="Tenorite" w:hAnsi="Tenorite"/>
          <w:sz w:val="20"/>
          <w:szCs w:val="20"/>
        </w:rPr>
        <w:t xml:space="preserve">, de </w:t>
      </w:r>
      <w:proofErr w:type="spellStart"/>
      <w:r w:rsidRPr="00C12D1F">
        <w:rPr>
          <w:rFonts w:ascii="Tenorite" w:hAnsi="Tenorite"/>
          <w:sz w:val="20"/>
          <w:szCs w:val="20"/>
        </w:rPr>
        <w:t>phosphonates</w:t>
      </w:r>
      <w:proofErr w:type="spellEnd"/>
      <w:r w:rsidRPr="00C12D1F">
        <w:rPr>
          <w:rFonts w:ascii="Tenorite" w:hAnsi="Tenorite"/>
          <w:sz w:val="20"/>
          <w:szCs w:val="20"/>
        </w:rPr>
        <w:t xml:space="preserve"> de potassium et de </w:t>
      </w:r>
      <w:proofErr w:type="spellStart"/>
      <w:r w:rsidRPr="00C12D1F">
        <w:rPr>
          <w:rFonts w:ascii="Tenorite" w:hAnsi="Tenorite"/>
          <w:sz w:val="20"/>
          <w:szCs w:val="20"/>
        </w:rPr>
        <w:t>phosphonate</w:t>
      </w:r>
      <w:proofErr w:type="spellEnd"/>
      <w:r w:rsidRPr="00C12D1F">
        <w:rPr>
          <w:rFonts w:ascii="Tenorite" w:hAnsi="Tenorite"/>
          <w:sz w:val="20"/>
          <w:szCs w:val="20"/>
        </w:rPr>
        <w:t xml:space="preserve"> de </w:t>
      </w:r>
      <w:proofErr w:type="spellStart"/>
      <w:r w:rsidRPr="00C12D1F">
        <w:rPr>
          <w:rFonts w:ascii="Tenorite" w:hAnsi="Tenorite"/>
          <w:sz w:val="20"/>
          <w:szCs w:val="20"/>
        </w:rPr>
        <w:t>disodium</w:t>
      </w:r>
      <w:proofErr w:type="spellEnd"/>
      <w:r w:rsidRPr="00C12D1F">
        <w:rPr>
          <w:rFonts w:ascii="Tenorite" w:hAnsi="Tenorite"/>
          <w:sz w:val="20"/>
          <w:szCs w:val="20"/>
        </w:rPr>
        <w:t xml:space="preserve"> présents dans ou sur certains produits (JOUE 08/10/2024)</w:t>
      </w:r>
    </w:p>
    <w:p w14:paraId="0F414BBA" w14:textId="77777777" w:rsidR="00C12D1F" w:rsidRPr="00C12D1F" w:rsidRDefault="00C12D1F" w:rsidP="00C12D1F">
      <w:pPr>
        <w:shd w:val="clear" w:color="auto" w:fill="FFFFFF"/>
        <w:spacing w:after="0" w:line="240" w:lineRule="auto"/>
        <w:ind w:left="142"/>
        <w:jc w:val="both"/>
        <w:rPr>
          <w:rFonts w:ascii="Tenorite" w:hAnsi="Tenorite"/>
          <w:sz w:val="20"/>
          <w:szCs w:val="20"/>
        </w:rPr>
      </w:pPr>
    </w:p>
    <w:p w14:paraId="51874A1A" w14:textId="77777777" w:rsidR="00C96EFE" w:rsidRDefault="00C96EFE" w:rsidP="00C12D1F">
      <w:pPr>
        <w:shd w:val="clear" w:color="auto" w:fill="FFFFFF"/>
        <w:spacing w:after="0" w:line="240" w:lineRule="auto"/>
        <w:ind w:left="142"/>
        <w:jc w:val="both"/>
        <w:rPr>
          <w:rFonts w:ascii="Tenorite" w:hAnsi="Tenorite"/>
          <w:sz w:val="20"/>
          <w:szCs w:val="20"/>
        </w:rPr>
      </w:pPr>
      <w:hyperlink r:id="rId21" w:history="1">
        <w:r w:rsidRPr="00C12D1F">
          <w:rPr>
            <w:rStyle w:val="Lienhypertexte"/>
            <w:rFonts w:ascii="Tenorite" w:hAnsi="Tenorite"/>
            <w:sz w:val="20"/>
            <w:szCs w:val="20"/>
          </w:rPr>
          <w:t>Règlement</w:t>
        </w:r>
      </w:hyperlink>
      <w:r w:rsidRPr="00C12D1F">
        <w:rPr>
          <w:rFonts w:ascii="Tenorite" w:hAnsi="Tenorite"/>
          <w:sz w:val="20"/>
          <w:szCs w:val="20"/>
        </w:rPr>
        <w:t xml:space="preserve"> (UE) 2024/2633 de la Commission du 8 octobre 2024 modifiant l’annexe II du règlement (CE) no 396/2005 du Parlement européen et du Conseil en ce qui concerne les limites maximales applicables aux résidus d’azoxystrobine, de famoxadone, de flutriafol, de </w:t>
      </w:r>
      <w:proofErr w:type="spellStart"/>
      <w:r w:rsidRPr="00C12D1F">
        <w:rPr>
          <w:rFonts w:ascii="Tenorite" w:hAnsi="Tenorite"/>
          <w:sz w:val="20"/>
          <w:szCs w:val="20"/>
        </w:rPr>
        <w:t>mandipropamide</w:t>
      </w:r>
      <w:proofErr w:type="spellEnd"/>
      <w:r w:rsidRPr="00C12D1F">
        <w:rPr>
          <w:rFonts w:ascii="Tenorite" w:hAnsi="Tenorite"/>
          <w:sz w:val="20"/>
          <w:szCs w:val="20"/>
        </w:rPr>
        <w:t xml:space="preserve"> et de </w:t>
      </w:r>
      <w:proofErr w:type="spellStart"/>
      <w:r w:rsidRPr="00C12D1F">
        <w:rPr>
          <w:rFonts w:ascii="Tenorite" w:hAnsi="Tenorite"/>
          <w:sz w:val="20"/>
          <w:szCs w:val="20"/>
        </w:rPr>
        <w:t>méfentrifluconazole</w:t>
      </w:r>
      <w:proofErr w:type="spellEnd"/>
      <w:r w:rsidRPr="00C12D1F">
        <w:rPr>
          <w:rFonts w:ascii="Tenorite" w:hAnsi="Tenorite"/>
          <w:sz w:val="20"/>
          <w:szCs w:val="20"/>
        </w:rPr>
        <w:t xml:space="preserve"> présents dans ou sur certains produits (JOUE 09/10/2024)</w:t>
      </w:r>
    </w:p>
    <w:p w14:paraId="25E9FDDF" w14:textId="77777777" w:rsidR="00C12D1F" w:rsidRPr="00C12D1F" w:rsidRDefault="00C12D1F" w:rsidP="00C12D1F">
      <w:pPr>
        <w:shd w:val="clear" w:color="auto" w:fill="FFFFFF"/>
        <w:spacing w:after="0" w:line="240" w:lineRule="auto"/>
        <w:ind w:left="142"/>
        <w:jc w:val="both"/>
        <w:rPr>
          <w:rFonts w:ascii="Tenorite" w:hAnsi="Tenorite"/>
          <w:sz w:val="20"/>
          <w:szCs w:val="20"/>
        </w:rPr>
      </w:pPr>
    </w:p>
    <w:p w14:paraId="4E32A182" w14:textId="77777777" w:rsidR="00C96EFE" w:rsidRDefault="00C96EFE" w:rsidP="00C12D1F">
      <w:pPr>
        <w:shd w:val="clear" w:color="auto" w:fill="FFFFFF"/>
        <w:spacing w:after="0" w:line="240" w:lineRule="auto"/>
        <w:ind w:left="142"/>
        <w:jc w:val="both"/>
        <w:rPr>
          <w:rFonts w:ascii="Tenorite" w:hAnsi="Tenorite"/>
          <w:sz w:val="20"/>
          <w:szCs w:val="20"/>
        </w:rPr>
      </w:pPr>
      <w:hyperlink r:id="rId22" w:history="1">
        <w:r w:rsidRPr="00C12D1F">
          <w:rPr>
            <w:rStyle w:val="Lienhypertexte"/>
            <w:rFonts w:ascii="Tenorite" w:hAnsi="Tenorite"/>
            <w:sz w:val="20"/>
            <w:szCs w:val="20"/>
          </w:rPr>
          <w:t>Règlement</w:t>
        </w:r>
      </w:hyperlink>
      <w:r w:rsidRPr="00C12D1F">
        <w:rPr>
          <w:rFonts w:ascii="Tenorite" w:hAnsi="Tenorite"/>
          <w:sz w:val="20"/>
          <w:szCs w:val="20"/>
        </w:rPr>
        <w:t xml:space="preserve"> (UE) 2024/2640 de la Commission du 9 octobre 2024 modifiant et rectifiant l’annexe II du règlement (CE) no 396/2005 du Parlement européen et du Conseil en ce qui concerne les limites maximales applicables aux résidus des substances 1,4-diméthylnaphtalène, acide </w:t>
      </w:r>
      <w:proofErr w:type="spellStart"/>
      <w:r w:rsidRPr="00C12D1F">
        <w:rPr>
          <w:rFonts w:ascii="Tenorite" w:hAnsi="Tenorite"/>
          <w:sz w:val="20"/>
          <w:szCs w:val="20"/>
        </w:rPr>
        <w:t>difluoroacétique</w:t>
      </w:r>
      <w:proofErr w:type="spellEnd"/>
      <w:r w:rsidRPr="00C12D1F">
        <w:rPr>
          <w:rFonts w:ascii="Tenorite" w:hAnsi="Tenorite"/>
          <w:sz w:val="20"/>
          <w:szCs w:val="20"/>
        </w:rPr>
        <w:t xml:space="preserve">, </w:t>
      </w:r>
      <w:proofErr w:type="spellStart"/>
      <w:r w:rsidRPr="00C12D1F">
        <w:rPr>
          <w:rFonts w:ascii="Tenorite" w:hAnsi="Tenorite"/>
          <w:sz w:val="20"/>
          <w:szCs w:val="20"/>
        </w:rPr>
        <w:t>fluopyram</w:t>
      </w:r>
      <w:proofErr w:type="spellEnd"/>
      <w:r w:rsidRPr="00C12D1F">
        <w:rPr>
          <w:rFonts w:ascii="Tenorite" w:hAnsi="Tenorite"/>
          <w:sz w:val="20"/>
          <w:szCs w:val="20"/>
        </w:rPr>
        <w:t xml:space="preserve"> et </w:t>
      </w:r>
      <w:proofErr w:type="spellStart"/>
      <w:r w:rsidRPr="00C12D1F">
        <w:rPr>
          <w:rFonts w:ascii="Tenorite" w:hAnsi="Tenorite"/>
          <w:sz w:val="20"/>
          <w:szCs w:val="20"/>
        </w:rPr>
        <w:t>flupyradifurone</w:t>
      </w:r>
      <w:proofErr w:type="spellEnd"/>
      <w:r w:rsidRPr="00C12D1F">
        <w:rPr>
          <w:rFonts w:ascii="Tenorite" w:hAnsi="Tenorite"/>
          <w:sz w:val="20"/>
          <w:szCs w:val="20"/>
        </w:rPr>
        <w:t xml:space="preserve"> présents dans ou sur certains produits (JOUE 10/10/2024)</w:t>
      </w:r>
    </w:p>
    <w:p w14:paraId="2066D7F0" w14:textId="77777777" w:rsidR="00C12D1F" w:rsidRPr="00C12D1F" w:rsidRDefault="00C12D1F" w:rsidP="00C12D1F">
      <w:pPr>
        <w:shd w:val="clear" w:color="auto" w:fill="FFFFFF"/>
        <w:spacing w:after="0" w:line="240" w:lineRule="auto"/>
        <w:ind w:left="142"/>
        <w:jc w:val="both"/>
        <w:rPr>
          <w:rFonts w:ascii="Tenorite" w:hAnsi="Tenorite"/>
          <w:sz w:val="20"/>
          <w:szCs w:val="20"/>
        </w:rPr>
      </w:pPr>
    </w:p>
    <w:p w14:paraId="7E10D2BE" w14:textId="77777777" w:rsidR="00C96EFE" w:rsidRDefault="00C96EFE" w:rsidP="00C12D1F">
      <w:pPr>
        <w:shd w:val="clear" w:color="auto" w:fill="FFFFFF"/>
        <w:spacing w:after="0" w:line="240" w:lineRule="auto"/>
        <w:ind w:left="142"/>
        <w:jc w:val="both"/>
        <w:rPr>
          <w:rFonts w:ascii="Tenorite" w:hAnsi="Tenorite"/>
          <w:sz w:val="20"/>
          <w:szCs w:val="20"/>
        </w:rPr>
      </w:pPr>
      <w:hyperlink r:id="rId23" w:history="1">
        <w:r w:rsidRPr="00C12D1F">
          <w:rPr>
            <w:rStyle w:val="Lienhypertexte"/>
            <w:rFonts w:ascii="Tenorite" w:hAnsi="Tenorite"/>
            <w:sz w:val="20"/>
            <w:szCs w:val="20"/>
          </w:rPr>
          <w:t>Règlement</w:t>
        </w:r>
      </w:hyperlink>
      <w:r w:rsidRPr="00C12D1F">
        <w:rPr>
          <w:rFonts w:ascii="Tenorite" w:hAnsi="Tenorite"/>
          <w:sz w:val="20"/>
          <w:szCs w:val="20"/>
        </w:rPr>
        <w:t xml:space="preserve"> (UE) 2024/2711 de la Commission du 22 octobre 2024 modifiant les annexes II et V du règlement (CE) no 396/2005 du Parlement européen et du Conseil en ce qui concerne les limites maximales applicables aux résidus de </w:t>
      </w:r>
      <w:proofErr w:type="spellStart"/>
      <w:r w:rsidRPr="00C12D1F">
        <w:rPr>
          <w:rFonts w:ascii="Tenorite" w:hAnsi="Tenorite"/>
          <w:sz w:val="20"/>
          <w:szCs w:val="20"/>
        </w:rPr>
        <w:t>thiaclopride</w:t>
      </w:r>
      <w:proofErr w:type="spellEnd"/>
      <w:r w:rsidRPr="00C12D1F">
        <w:rPr>
          <w:rFonts w:ascii="Tenorite" w:hAnsi="Tenorite"/>
          <w:sz w:val="20"/>
          <w:szCs w:val="20"/>
        </w:rPr>
        <w:t xml:space="preserve"> présents dans ou sur certains produits (JOUE 23/10/2024)</w:t>
      </w:r>
    </w:p>
    <w:p w14:paraId="7F9A6D9C" w14:textId="77777777" w:rsidR="00C12D1F" w:rsidRPr="00C12D1F" w:rsidRDefault="00C12D1F" w:rsidP="00C12D1F">
      <w:pPr>
        <w:shd w:val="clear" w:color="auto" w:fill="FFFFFF"/>
        <w:spacing w:after="0" w:line="240" w:lineRule="auto"/>
        <w:ind w:left="142"/>
        <w:jc w:val="both"/>
        <w:rPr>
          <w:rFonts w:ascii="Tenorite" w:hAnsi="Tenorite"/>
          <w:sz w:val="20"/>
          <w:szCs w:val="20"/>
        </w:rPr>
      </w:pPr>
    </w:p>
    <w:p w14:paraId="076ADECF" w14:textId="08867FF0" w:rsidR="00C96EFE" w:rsidRPr="00C12D1F" w:rsidRDefault="00C96EFE" w:rsidP="00C12D1F">
      <w:pPr>
        <w:shd w:val="clear" w:color="auto" w:fill="FFFFFF"/>
        <w:spacing w:after="0" w:line="240" w:lineRule="auto"/>
        <w:ind w:left="142"/>
        <w:jc w:val="both"/>
        <w:rPr>
          <w:rStyle w:val="Lienhypertexte"/>
          <w:rFonts w:ascii="Tenorite" w:hAnsi="Tenorite"/>
          <w:sz w:val="20"/>
          <w:szCs w:val="20"/>
        </w:rPr>
      </w:pPr>
      <w:hyperlink r:id="rId24" w:history="1">
        <w:r w:rsidRPr="00C12D1F">
          <w:rPr>
            <w:rStyle w:val="Lienhypertexte"/>
            <w:rFonts w:ascii="Tenorite" w:hAnsi="Tenorite"/>
            <w:sz w:val="20"/>
            <w:szCs w:val="20"/>
          </w:rPr>
          <w:t>Objection</w:t>
        </w:r>
      </w:hyperlink>
      <w:r w:rsidRPr="00C12D1F">
        <w:rPr>
          <w:rFonts w:ascii="Tenorite" w:hAnsi="Tenorite"/>
          <w:sz w:val="20"/>
          <w:szCs w:val="20"/>
        </w:rPr>
        <w:t xml:space="preserve"> à un acte </w:t>
      </w:r>
      <w:r w:rsidR="00C12D1F" w:rsidRPr="00C12D1F">
        <w:rPr>
          <w:rFonts w:ascii="Tenorite" w:hAnsi="Tenorite"/>
          <w:sz w:val="20"/>
          <w:szCs w:val="20"/>
        </w:rPr>
        <w:t>d’exécution :</w:t>
      </w:r>
      <w:r w:rsidRPr="00C12D1F">
        <w:rPr>
          <w:rFonts w:ascii="Tenorite" w:hAnsi="Tenorite"/>
          <w:sz w:val="20"/>
          <w:szCs w:val="20"/>
        </w:rPr>
        <w:t xml:space="preserve"> limites maximales applicables aux résidus de </w:t>
      </w:r>
      <w:proofErr w:type="spellStart"/>
      <w:r w:rsidRPr="00C12D1F">
        <w:rPr>
          <w:rFonts w:ascii="Tenorite" w:hAnsi="Tenorite"/>
          <w:sz w:val="20"/>
          <w:szCs w:val="20"/>
        </w:rPr>
        <w:t>thiaclopride</w:t>
      </w:r>
      <w:proofErr w:type="spellEnd"/>
      <w:r w:rsidRPr="00C12D1F">
        <w:rPr>
          <w:rFonts w:ascii="Tenorite" w:hAnsi="Tenorite"/>
          <w:sz w:val="20"/>
          <w:szCs w:val="20"/>
        </w:rPr>
        <w:t xml:space="preserve"> — Résolution du Parlement européen du 17 janvier 2024 sur la proposition de règlement du Conseil modifiant l’annexe II du règlement (CE) no 396/2005 du Parlement européen et du Conseil en ce qui concerne les limites maximales applicables aux résidus de </w:t>
      </w:r>
      <w:proofErr w:type="spellStart"/>
      <w:r w:rsidRPr="00C12D1F">
        <w:rPr>
          <w:rFonts w:ascii="Tenorite" w:hAnsi="Tenorite"/>
          <w:sz w:val="20"/>
          <w:szCs w:val="20"/>
        </w:rPr>
        <w:t>thiaclopride</w:t>
      </w:r>
      <w:proofErr w:type="spellEnd"/>
      <w:r w:rsidRPr="00C12D1F">
        <w:rPr>
          <w:rFonts w:ascii="Tenorite" w:hAnsi="Tenorite"/>
          <w:sz w:val="20"/>
          <w:szCs w:val="20"/>
        </w:rPr>
        <w:t xml:space="preserve"> présents dans ou sur certains produits (JOUE 17/10/2024)</w:t>
      </w:r>
    </w:p>
    <w:p w14:paraId="70B7FC97" w14:textId="77777777" w:rsidR="00C96EFE" w:rsidRPr="005F3EA3" w:rsidRDefault="00C96EFE" w:rsidP="00C12D1F">
      <w:pPr>
        <w:spacing w:after="0" w:line="240" w:lineRule="auto"/>
        <w:ind w:left="284" w:hanging="142"/>
        <w:jc w:val="both"/>
        <w:rPr>
          <w:rFonts w:ascii="Tenorite" w:hAnsi="Tenorite"/>
          <w:color w:val="C45911" w:themeColor="accent2" w:themeShade="BF"/>
          <w:sz w:val="20"/>
        </w:rPr>
      </w:pPr>
    </w:p>
    <w:p w14:paraId="2EDE4BFC" w14:textId="7A9B7BAD" w:rsidR="002B7CB6" w:rsidRDefault="002B7CB6" w:rsidP="00C12D1F">
      <w:pPr>
        <w:spacing w:after="0" w:line="240" w:lineRule="auto"/>
        <w:ind w:left="284" w:hanging="142"/>
        <w:jc w:val="both"/>
        <w:rPr>
          <w:rFonts w:ascii="Tenorite" w:hAnsi="Tenorite"/>
          <w:color w:val="C45911" w:themeColor="accent2" w:themeShade="BF"/>
          <w:sz w:val="20"/>
        </w:rPr>
      </w:pPr>
      <w:r w:rsidRPr="005F3EA3">
        <w:rPr>
          <w:rFonts w:ascii="Tenorite" w:hAnsi="Tenorite"/>
          <w:color w:val="C45911" w:themeColor="accent2" w:themeShade="BF"/>
          <w:sz w:val="20"/>
        </w:rPr>
        <w:t>Autres contaminants </w:t>
      </w:r>
    </w:p>
    <w:p w14:paraId="607FA4C7" w14:textId="77777777" w:rsidR="00C96EFE" w:rsidRPr="00C12D1F" w:rsidRDefault="00C96EFE" w:rsidP="00C12D1F">
      <w:pPr>
        <w:shd w:val="clear" w:color="auto" w:fill="FFFFFF"/>
        <w:spacing w:after="0" w:line="240" w:lineRule="auto"/>
        <w:ind w:left="142"/>
        <w:jc w:val="both"/>
        <w:rPr>
          <w:rFonts w:ascii="Tenorite" w:hAnsi="Tenorite"/>
          <w:sz w:val="20"/>
          <w:szCs w:val="20"/>
        </w:rPr>
      </w:pPr>
      <w:hyperlink r:id="rId25" w:history="1">
        <w:r w:rsidRPr="00C12D1F">
          <w:rPr>
            <w:rStyle w:val="Lienhypertexte"/>
            <w:rFonts w:ascii="Tenorite" w:hAnsi="Tenorite"/>
            <w:sz w:val="20"/>
            <w:szCs w:val="20"/>
          </w:rPr>
          <w:t>Rectificatif</w:t>
        </w:r>
      </w:hyperlink>
      <w:r w:rsidRPr="00C12D1F">
        <w:rPr>
          <w:rFonts w:ascii="Tenorite" w:hAnsi="Tenorite"/>
          <w:sz w:val="20"/>
          <w:szCs w:val="20"/>
        </w:rPr>
        <w:t xml:space="preserve"> à la communication de la Commission — Lignes directrices techniques relatives aux méthodes d’analyse pour la surveillance des substances alkylées per- et </w:t>
      </w:r>
      <w:proofErr w:type="spellStart"/>
      <w:r w:rsidRPr="00C12D1F">
        <w:rPr>
          <w:rFonts w:ascii="Tenorite" w:hAnsi="Tenorite"/>
          <w:sz w:val="20"/>
          <w:szCs w:val="20"/>
        </w:rPr>
        <w:t>polyfluorées</w:t>
      </w:r>
      <w:proofErr w:type="spellEnd"/>
      <w:r w:rsidRPr="00C12D1F">
        <w:rPr>
          <w:rFonts w:ascii="Tenorite" w:hAnsi="Tenorite"/>
          <w:sz w:val="20"/>
          <w:szCs w:val="20"/>
        </w:rPr>
        <w:t xml:space="preserve"> (PFAS) dans les eaux destinées à la consommation humaine (JOUE 18/10/2024)</w:t>
      </w:r>
    </w:p>
    <w:p w14:paraId="1012E99E" w14:textId="77777777" w:rsidR="005F3EA3" w:rsidRPr="00C12D1F" w:rsidRDefault="005F3EA3" w:rsidP="00C12D1F">
      <w:pPr>
        <w:spacing w:after="0" w:line="240" w:lineRule="auto"/>
        <w:ind w:left="142" w:hanging="142"/>
        <w:jc w:val="both"/>
        <w:rPr>
          <w:rFonts w:ascii="Tenorite" w:eastAsia="MS Gothic" w:hAnsi="Tenorite" w:cs="Segoe UI Symbol"/>
          <w:b/>
          <w:sz w:val="24"/>
          <w:szCs w:val="20"/>
        </w:rPr>
      </w:pPr>
    </w:p>
    <w:p w14:paraId="2115C4F0" w14:textId="77777777" w:rsidR="002B7CB6" w:rsidRPr="005F3EA3" w:rsidRDefault="002B7CB6" w:rsidP="00C12D1F">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p>
    <w:p w14:paraId="5B30DC1D" w14:textId="77777777" w:rsidR="002F17D1" w:rsidRPr="005F3EA3" w:rsidRDefault="002B7CB6" w:rsidP="00C12D1F">
      <w:pPr>
        <w:spacing w:after="0" w:line="240" w:lineRule="auto"/>
        <w:ind w:left="142"/>
        <w:jc w:val="both"/>
        <w:rPr>
          <w:rFonts w:ascii="Tenorite" w:hAnsi="Tenorite"/>
          <w:color w:val="C45911" w:themeColor="accent2" w:themeShade="BF"/>
          <w:sz w:val="20"/>
        </w:rPr>
      </w:pPr>
      <w:r w:rsidRPr="005F3EA3">
        <w:rPr>
          <w:rFonts w:ascii="Tenorite" w:hAnsi="Tenorite"/>
          <w:color w:val="C45911" w:themeColor="accent2" w:themeShade="BF"/>
          <w:sz w:val="20"/>
        </w:rPr>
        <w:t>Général</w:t>
      </w:r>
    </w:p>
    <w:p w14:paraId="0D45379F" w14:textId="77777777" w:rsidR="00C96EFE" w:rsidRDefault="00C96EFE" w:rsidP="00C12D1F">
      <w:pPr>
        <w:adjustRightInd w:val="0"/>
        <w:spacing w:after="0" w:line="240" w:lineRule="auto"/>
        <w:ind w:left="142"/>
        <w:jc w:val="both"/>
        <w:rPr>
          <w:rFonts w:ascii="Tenorite" w:hAnsi="Tenorite"/>
          <w:sz w:val="20"/>
          <w:szCs w:val="20"/>
        </w:rPr>
      </w:pPr>
      <w:hyperlink r:id="rId26" w:history="1">
        <w:r w:rsidRPr="00C12D1F">
          <w:rPr>
            <w:rStyle w:val="Lienhypertexte"/>
            <w:rFonts w:ascii="Tenorite" w:hAnsi="Tenorite"/>
            <w:sz w:val="20"/>
            <w:szCs w:val="20"/>
          </w:rPr>
          <w:t>Arrêt du 4 octobre 2024</w:t>
        </w:r>
      </w:hyperlink>
      <w:r w:rsidRPr="00C12D1F">
        <w:rPr>
          <w:rFonts w:ascii="Tenorite" w:hAnsi="Tenorite"/>
          <w:sz w:val="20"/>
          <w:szCs w:val="20"/>
        </w:rPr>
        <w:t>, Affaire nº C-438/23 [Protéines végétales &amp; Dénominations] (CJUE 04/10/2024)</w:t>
      </w:r>
    </w:p>
    <w:p w14:paraId="1F1FB99C" w14:textId="77777777" w:rsidR="00C12D1F" w:rsidRPr="00C12D1F" w:rsidRDefault="00C12D1F" w:rsidP="00C12D1F">
      <w:pPr>
        <w:adjustRightInd w:val="0"/>
        <w:spacing w:after="0" w:line="240" w:lineRule="auto"/>
        <w:ind w:left="142"/>
        <w:jc w:val="both"/>
        <w:rPr>
          <w:rFonts w:ascii="Tenorite" w:hAnsi="Tenorite"/>
          <w:sz w:val="20"/>
          <w:szCs w:val="20"/>
        </w:rPr>
      </w:pPr>
    </w:p>
    <w:p w14:paraId="7C7935D3" w14:textId="77777777" w:rsidR="002B7CB6" w:rsidRPr="005F3EA3" w:rsidRDefault="002B7CB6" w:rsidP="00C12D1F">
      <w:pPr>
        <w:spacing w:after="0" w:line="240" w:lineRule="auto"/>
        <w:ind w:left="142"/>
        <w:jc w:val="both"/>
        <w:rPr>
          <w:rFonts w:ascii="Tenorite" w:hAnsi="Tenorite"/>
          <w:color w:val="C45911" w:themeColor="accent2" w:themeShade="BF"/>
          <w:sz w:val="20"/>
        </w:rPr>
      </w:pPr>
      <w:r w:rsidRPr="005F3EA3">
        <w:rPr>
          <w:rFonts w:ascii="Tenorite" w:hAnsi="Tenorite"/>
          <w:color w:val="C45911" w:themeColor="accent2" w:themeShade="BF"/>
          <w:sz w:val="20"/>
        </w:rPr>
        <w:t>Nutritionnel</w:t>
      </w:r>
    </w:p>
    <w:p w14:paraId="3892DF35" w14:textId="77777777" w:rsidR="00041F4A" w:rsidRPr="00C12D1F" w:rsidRDefault="00041F4A" w:rsidP="00C12D1F">
      <w:pPr>
        <w:pStyle w:val="Textebrut"/>
        <w:ind w:left="142"/>
        <w:jc w:val="both"/>
        <w:rPr>
          <w:rFonts w:ascii="Tenorite" w:hAnsi="Tenorite"/>
          <w:sz w:val="20"/>
          <w:szCs w:val="20"/>
        </w:rPr>
      </w:pPr>
      <w:hyperlink r:id="rId27" w:history="1">
        <w:r w:rsidRPr="00C12D1F">
          <w:rPr>
            <w:rStyle w:val="Lienhypertexte"/>
            <w:rFonts w:ascii="Tenorite" w:hAnsi="Tenorite"/>
            <w:sz w:val="20"/>
            <w:szCs w:val="20"/>
          </w:rPr>
          <w:t>Rapport</w:t>
        </w:r>
      </w:hyperlink>
      <w:r w:rsidRPr="00C12D1F">
        <w:rPr>
          <w:rFonts w:ascii="Tenorite" w:hAnsi="Tenorite"/>
          <w:sz w:val="20"/>
          <w:szCs w:val="20"/>
        </w:rPr>
        <w:t xml:space="preserve"> de mise en œuvre sur le règlement (CE) n° 1924/2006 concernant les allégations nutritionnelles et de santé portant sur les denrées alimentaires — Résolution du Parlement européen du 18 janvier 2024 sur la mise en œuvre du règlement (CE) no 1924/2006 concernant les allégations nutritionnelles et de santé portant sur les denrées alimentaires (JOUE 17/10/2024)</w:t>
      </w:r>
    </w:p>
    <w:p w14:paraId="5112D211" w14:textId="77777777" w:rsidR="002F17D1" w:rsidRPr="005F3EA3" w:rsidRDefault="002F17D1" w:rsidP="00C12D1F">
      <w:pPr>
        <w:spacing w:after="0" w:line="240" w:lineRule="auto"/>
        <w:ind w:left="142"/>
        <w:jc w:val="both"/>
        <w:rPr>
          <w:rFonts w:ascii="Tenorite" w:hAnsi="Tenorite"/>
          <w:color w:val="C45911" w:themeColor="accent2" w:themeShade="BF"/>
          <w:sz w:val="20"/>
        </w:rPr>
      </w:pPr>
    </w:p>
    <w:p w14:paraId="5A11BE1A" w14:textId="77777777" w:rsidR="002B7CB6" w:rsidRPr="005F3EA3" w:rsidRDefault="002B7CB6" w:rsidP="00C12D1F">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7F5C7775" w14:textId="77777777" w:rsidR="002F17D1" w:rsidRDefault="002B7CB6" w:rsidP="00C12D1F">
      <w:pPr>
        <w:spacing w:after="0" w:line="240" w:lineRule="auto"/>
        <w:ind w:left="284" w:hanging="142"/>
        <w:jc w:val="both"/>
        <w:rPr>
          <w:rFonts w:ascii="Tenorite" w:hAnsi="Tenorite"/>
          <w:color w:val="C45911" w:themeColor="accent2" w:themeShade="BF"/>
          <w:sz w:val="20"/>
        </w:rPr>
      </w:pPr>
      <w:r w:rsidRPr="005F3EA3">
        <w:rPr>
          <w:rFonts w:ascii="Tenorite" w:hAnsi="Tenorite"/>
          <w:color w:val="C45911" w:themeColor="accent2" w:themeShade="BF"/>
          <w:sz w:val="20"/>
        </w:rPr>
        <w:t>Bulletins épidémiologiques</w:t>
      </w:r>
    </w:p>
    <w:p w14:paraId="1C7DDD76" w14:textId="77777777" w:rsidR="00C96EFE" w:rsidRPr="00C12D1F" w:rsidRDefault="00C96EFE" w:rsidP="00C12D1F">
      <w:pPr>
        <w:adjustRightInd w:val="0"/>
        <w:spacing w:after="0" w:line="240" w:lineRule="auto"/>
        <w:ind w:left="142"/>
        <w:jc w:val="both"/>
        <w:rPr>
          <w:rFonts w:ascii="Tenorite" w:eastAsia="SimSun" w:hAnsi="Tenorite" w:cs="SimianText-Orangutan"/>
          <w:color w:val="5D5541"/>
          <w:sz w:val="20"/>
          <w:szCs w:val="20"/>
          <w:lang w:eastAsia="zh-CN"/>
        </w:rPr>
      </w:pPr>
      <w:hyperlink r:id="rId28" w:history="1">
        <w:r w:rsidRPr="00C12D1F">
          <w:rPr>
            <w:rStyle w:val="Lienhypertexte"/>
            <w:rFonts w:ascii="Tenorite" w:eastAsia="SimSun" w:hAnsi="Tenorite" w:cs="SimianText-Orangutan"/>
            <w:sz w:val="20"/>
            <w:szCs w:val="20"/>
            <w:lang w:eastAsia="zh-CN"/>
          </w:rPr>
          <w:t>Bulletin épidémiologique</w:t>
        </w:r>
      </w:hyperlink>
      <w:r w:rsidRPr="00C12D1F">
        <w:rPr>
          <w:rFonts w:ascii="Tenorite" w:eastAsia="SimSun" w:hAnsi="Tenorite" w:cs="SimianText-Orangutan"/>
          <w:color w:val="5D5541"/>
          <w:sz w:val="20"/>
          <w:szCs w:val="20"/>
          <w:lang w:eastAsia="zh-CN"/>
        </w:rPr>
        <w:t>, spécial Maladies animales Réglementées et Emergentes, numéro 103, Octobre 2024</w:t>
      </w:r>
    </w:p>
    <w:p w14:paraId="23A5A833" w14:textId="77777777" w:rsidR="00C96EFE" w:rsidRPr="00C12D1F" w:rsidRDefault="00C96EFE" w:rsidP="00C12D1F">
      <w:pPr>
        <w:adjustRightInd w:val="0"/>
        <w:spacing w:after="0" w:line="240" w:lineRule="auto"/>
        <w:ind w:left="142"/>
        <w:jc w:val="both"/>
        <w:rPr>
          <w:rFonts w:ascii="Tenorite" w:eastAsia="SimSun" w:hAnsi="Tenorite" w:cs="SimianText-Orangutan"/>
          <w:color w:val="5D5541"/>
          <w:sz w:val="20"/>
          <w:szCs w:val="20"/>
          <w:lang w:eastAsia="zh-CN"/>
        </w:rPr>
      </w:pPr>
    </w:p>
    <w:p w14:paraId="25326613" w14:textId="77777777" w:rsidR="00C96EFE" w:rsidRPr="00C12D1F" w:rsidRDefault="00C96EFE" w:rsidP="00C12D1F">
      <w:pPr>
        <w:adjustRightInd w:val="0"/>
        <w:spacing w:after="0" w:line="240" w:lineRule="auto"/>
        <w:ind w:left="142"/>
        <w:jc w:val="both"/>
        <w:rPr>
          <w:rFonts w:ascii="Tenorite" w:hAnsi="Tenorite"/>
          <w:sz w:val="20"/>
          <w:szCs w:val="20"/>
        </w:rPr>
      </w:pPr>
      <w:hyperlink r:id="rId29" w:history="1">
        <w:proofErr w:type="spellStart"/>
        <w:r w:rsidRPr="00C12D1F">
          <w:rPr>
            <w:rStyle w:val="Lienhypertexte"/>
            <w:rFonts w:ascii="Tenorite" w:hAnsi="Tenorite"/>
            <w:sz w:val="20"/>
            <w:szCs w:val="20"/>
          </w:rPr>
          <w:t>BuSCA</w:t>
        </w:r>
        <w:proofErr w:type="spellEnd"/>
        <w:r w:rsidRPr="00C12D1F">
          <w:rPr>
            <w:rStyle w:val="Lienhypertexte"/>
            <w:rFonts w:ascii="Tenorite" w:hAnsi="Tenorite"/>
            <w:sz w:val="20"/>
            <w:szCs w:val="20"/>
          </w:rPr>
          <w:t xml:space="preserve"> n°120</w:t>
        </w:r>
      </w:hyperlink>
      <w:r w:rsidRPr="00C12D1F">
        <w:rPr>
          <w:rFonts w:ascii="Tenorite" w:hAnsi="Tenorite"/>
          <w:sz w:val="20"/>
          <w:szCs w:val="20"/>
        </w:rPr>
        <w:t xml:space="preserve"> – 03 octobre 2024, Plateforme de surveillance de la chaîne alimentaire</w:t>
      </w:r>
    </w:p>
    <w:p w14:paraId="45492BCD" w14:textId="77777777" w:rsidR="00C96EFE" w:rsidRPr="00C12D1F" w:rsidRDefault="00C96EFE" w:rsidP="00C12D1F">
      <w:pPr>
        <w:adjustRightInd w:val="0"/>
        <w:spacing w:after="0" w:line="240" w:lineRule="auto"/>
        <w:ind w:left="142"/>
        <w:jc w:val="both"/>
        <w:rPr>
          <w:rFonts w:ascii="Tenorite" w:hAnsi="Tenorite"/>
          <w:sz w:val="20"/>
          <w:szCs w:val="20"/>
        </w:rPr>
      </w:pPr>
      <w:hyperlink r:id="rId30" w:history="1">
        <w:proofErr w:type="spellStart"/>
        <w:r w:rsidRPr="00C12D1F">
          <w:rPr>
            <w:rStyle w:val="Lienhypertexte"/>
            <w:rFonts w:ascii="Tenorite" w:hAnsi="Tenorite"/>
            <w:sz w:val="20"/>
            <w:szCs w:val="20"/>
          </w:rPr>
          <w:t>BuSCA</w:t>
        </w:r>
        <w:proofErr w:type="spellEnd"/>
        <w:r w:rsidRPr="00C12D1F">
          <w:rPr>
            <w:rStyle w:val="Lienhypertexte"/>
            <w:rFonts w:ascii="Tenorite" w:hAnsi="Tenorite"/>
            <w:sz w:val="20"/>
            <w:szCs w:val="20"/>
          </w:rPr>
          <w:t xml:space="preserve"> n°121</w:t>
        </w:r>
      </w:hyperlink>
      <w:r w:rsidRPr="00C12D1F">
        <w:rPr>
          <w:rFonts w:ascii="Tenorite" w:hAnsi="Tenorite"/>
          <w:sz w:val="20"/>
          <w:szCs w:val="20"/>
        </w:rPr>
        <w:t>– 20 octobre 2024, Plateforme de surveillance de la chaîne alimentaire</w:t>
      </w:r>
    </w:p>
    <w:p w14:paraId="7D1944E0" w14:textId="3FE37765" w:rsidR="001B42BB" w:rsidRPr="00C12D1F" w:rsidRDefault="002B7CB6" w:rsidP="00C12D1F">
      <w:pPr>
        <w:spacing w:after="0" w:line="240" w:lineRule="auto"/>
        <w:ind w:left="142"/>
        <w:jc w:val="both"/>
        <w:rPr>
          <w:rFonts w:ascii="Tenorite" w:hAnsi="Tenorite"/>
          <w:color w:val="C45911" w:themeColor="accent2" w:themeShade="BF"/>
          <w:sz w:val="20"/>
          <w:szCs w:val="20"/>
        </w:rPr>
      </w:pPr>
      <w:r w:rsidRPr="00C12D1F">
        <w:rPr>
          <w:rFonts w:ascii="Tenorite" w:hAnsi="Tenorite"/>
          <w:color w:val="C45911" w:themeColor="accent2" w:themeShade="BF"/>
          <w:sz w:val="20"/>
          <w:szCs w:val="20"/>
        </w:rPr>
        <w:t>Fraudes (non exhaustif)</w:t>
      </w:r>
    </w:p>
    <w:p w14:paraId="268C3451" w14:textId="77777777" w:rsidR="00C96EFE" w:rsidRPr="00C12D1F" w:rsidRDefault="00C96EFE" w:rsidP="00C12D1F">
      <w:pPr>
        <w:adjustRightInd w:val="0"/>
        <w:spacing w:after="0" w:line="240" w:lineRule="auto"/>
        <w:ind w:left="142"/>
        <w:jc w:val="both"/>
        <w:rPr>
          <w:rFonts w:ascii="Tenorite" w:hAnsi="Tenorite"/>
          <w:sz w:val="20"/>
          <w:szCs w:val="20"/>
        </w:rPr>
      </w:pPr>
      <w:r w:rsidRPr="00C12D1F">
        <w:rPr>
          <w:rFonts w:ascii="Tenorite" w:hAnsi="Tenorite"/>
          <w:sz w:val="20"/>
          <w:szCs w:val="20"/>
        </w:rPr>
        <w:t xml:space="preserve">Newsletter </w:t>
      </w:r>
      <w:hyperlink r:id="rId31" w:history="1">
        <w:r w:rsidRPr="00C12D1F">
          <w:rPr>
            <w:rStyle w:val="Lienhypertexte"/>
            <w:rFonts w:ascii="Tenorite" w:hAnsi="Tenorite"/>
            <w:sz w:val="20"/>
            <w:szCs w:val="20"/>
          </w:rPr>
          <w:t>Septembre 2024</w:t>
        </w:r>
      </w:hyperlink>
      <w:r w:rsidRPr="00C12D1F">
        <w:rPr>
          <w:rFonts w:ascii="Tenorite" w:hAnsi="Tenorite"/>
          <w:sz w:val="20"/>
          <w:szCs w:val="20"/>
        </w:rPr>
        <w:t>, Fraudes alimentaires, Commission européenne</w:t>
      </w:r>
    </w:p>
    <w:p w14:paraId="36C1093D" w14:textId="77777777" w:rsidR="00C96EFE" w:rsidRPr="00C12D1F" w:rsidRDefault="00C96EFE" w:rsidP="00C12D1F">
      <w:pPr>
        <w:spacing w:after="0" w:line="240" w:lineRule="auto"/>
        <w:ind w:left="142" w:hanging="142"/>
        <w:jc w:val="both"/>
        <w:rPr>
          <w:rFonts w:ascii="Tenorite" w:hAnsi="Tenorite"/>
          <w:color w:val="C45911" w:themeColor="accent2" w:themeShade="BF"/>
          <w:sz w:val="20"/>
          <w:szCs w:val="20"/>
        </w:rPr>
      </w:pPr>
    </w:p>
    <w:p w14:paraId="279B3CF6" w14:textId="77777777" w:rsidR="002B7CB6" w:rsidRPr="005F3EA3" w:rsidRDefault="002B7CB6" w:rsidP="00C12D1F">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F3EA3">
        <w:rPr>
          <w:rFonts w:ascii="Tenorite" w:hAnsi="Tenorite"/>
          <w:b/>
          <w:color w:val="833C0B" w:themeColor="accent2" w:themeShade="80"/>
          <w:sz w:val="24"/>
        </w:rPr>
        <w:t>INGREDIENTS ET NOUVEAUX INGREDIENTS</w:t>
      </w:r>
      <w:r w:rsidRPr="005F3EA3">
        <w:rPr>
          <w:rFonts w:ascii="Tenorite" w:hAnsi="Tenorite"/>
          <w:b/>
          <w:color w:val="833C0B" w:themeColor="accent2" w:themeShade="80"/>
          <w:sz w:val="24"/>
        </w:rPr>
        <w:tab/>
      </w:r>
    </w:p>
    <w:p w14:paraId="6116C399" w14:textId="77777777" w:rsidR="00041F4A" w:rsidRPr="00C12D1F" w:rsidRDefault="00041F4A" w:rsidP="00C12D1F">
      <w:pPr>
        <w:pStyle w:val="Textebrut"/>
        <w:ind w:left="142"/>
        <w:jc w:val="both"/>
        <w:rPr>
          <w:rFonts w:ascii="Tenorite" w:hAnsi="Tenorite"/>
          <w:sz w:val="20"/>
          <w:szCs w:val="20"/>
        </w:rPr>
      </w:pPr>
      <w:hyperlink r:id="rId32" w:history="1">
        <w:r w:rsidRPr="00C12D1F">
          <w:rPr>
            <w:rStyle w:val="Lienhypertexte"/>
            <w:rFonts w:ascii="Tenorite" w:hAnsi="Tenorite"/>
            <w:sz w:val="20"/>
            <w:szCs w:val="20"/>
          </w:rPr>
          <w:t>Rectificatif</w:t>
        </w:r>
      </w:hyperlink>
      <w:r w:rsidRPr="00C12D1F">
        <w:rPr>
          <w:rFonts w:ascii="Tenorite" w:hAnsi="Tenorite"/>
          <w:sz w:val="20"/>
          <w:szCs w:val="20"/>
        </w:rPr>
        <w:t xml:space="preserve"> au règlement d’exécution (UE) 2018/1023 de la Commission du 23 juillet 2018 portant rectification du règlement d’exécution (UE) 2017/2470 établissant la liste de l’Union des nouveaux aliments (JOUE 08/10/2024)</w:t>
      </w:r>
    </w:p>
    <w:p w14:paraId="415ABAE5" w14:textId="77777777" w:rsidR="00041F4A" w:rsidRPr="00C12D1F" w:rsidRDefault="00041F4A" w:rsidP="00C12D1F">
      <w:pPr>
        <w:pStyle w:val="Textebrut"/>
        <w:ind w:left="142"/>
        <w:jc w:val="both"/>
        <w:rPr>
          <w:rFonts w:ascii="Tenorite" w:hAnsi="Tenorite"/>
          <w:sz w:val="20"/>
          <w:szCs w:val="20"/>
        </w:rPr>
      </w:pPr>
    </w:p>
    <w:p w14:paraId="6B4CC916" w14:textId="77777777" w:rsidR="00041F4A" w:rsidRDefault="00041F4A" w:rsidP="00C12D1F">
      <w:pPr>
        <w:pStyle w:val="Textebrut"/>
        <w:ind w:left="142"/>
        <w:jc w:val="both"/>
        <w:rPr>
          <w:rFonts w:ascii="Tenorite" w:hAnsi="Tenorite"/>
          <w:sz w:val="20"/>
          <w:szCs w:val="20"/>
        </w:rPr>
      </w:pPr>
      <w:hyperlink r:id="rId33" w:history="1">
        <w:r w:rsidRPr="00C12D1F">
          <w:rPr>
            <w:rStyle w:val="Lienhypertexte"/>
            <w:rFonts w:ascii="Tenorite" w:hAnsi="Tenorite"/>
            <w:sz w:val="20"/>
            <w:szCs w:val="20"/>
          </w:rPr>
          <w:t>Règlement</w:t>
        </w:r>
      </w:hyperlink>
      <w:r w:rsidRPr="00C12D1F">
        <w:rPr>
          <w:rFonts w:ascii="Tenorite" w:hAnsi="Tenorite"/>
          <w:sz w:val="20"/>
          <w:szCs w:val="20"/>
        </w:rPr>
        <w:t xml:space="preserve"> d’exécution (UE) 2024/2682 de la Commission du 16 octobre 2024 modifiant le règlement d’exécution (UE) 2017/2470 en ce qui concerne les spécifications du nouvel aliment poudre de champignons contenant de la vitamine D2 (JOUE 17/10/2024)</w:t>
      </w:r>
    </w:p>
    <w:p w14:paraId="2804DC04" w14:textId="77777777" w:rsidR="00C12D1F" w:rsidRPr="00C12D1F" w:rsidRDefault="00C12D1F" w:rsidP="00C12D1F">
      <w:pPr>
        <w:pStyle w:val="Textebrut"/>
        <w:ind w:left="142"/>
        <w:jc w:val="both"/>
        <w:rPr>
          <w:rFonts w:ascii="Tenorite" w:hAnsi="Tenorite"/>
          <w:sz w:val="20"/>
          <w:szCs w:val="20"/>
        </w:rPr>
      </w:pPr>
    </w:p>
    <w:p w14:paraId="75DA51F1" w14:textId="77777777" w:rsidR="00041F4A" w:rsidRPr="00C12D1F" w:rsidRDefault="00041F4A" w:rsidP="00C12D1F">
      <w:pPr>
        <w:pStyle w:val="Textebrut"/>
        <w:ind w:left="142"/>
        <w:jc w:val="both"/>
        <w:rPr>
          <w:rFonts w:ascii="Tenorite" w:hAnsi="Tenorite"/>
          <w:sz w:val="20"/>
          <w:szCs w:val="20"/>
        </w:rPr>
      </w:pPr>
      <w:hyperlink r:id="rId34" w:history="1">
        <w:r w:rsidRPr="00C12D1F">
          <w:rPr>
            <w:rStyle w:val="Lienhypertexte"/>
            <w:rFonts w:ascii="Tenorite" w:hAnsi="Tenorite"/>
            <w:sz w:val="20"/>
            <w:szCs w:val="20"/>
          </w:rPr>
          <w:t>Règlement</w:t>
        </w:r>
      </w:hyperlink>
      <w:r w:rsidRPr="00C12D1F">
        <w:rPr>
          <w:rFonts w:ascii="Tenorite" w:hAnsi="Tenorite"/>
          <w:sz w:val="20"/>
          <w:szCs w:val="20"/>
        </w:rPr>
        <w:t xml:space="preserve"> d’exécution (UE) 2024/2694 de la Commission du 17 octobre 2024 autorisant la mise sur le marché du L-</w:t>
      </w:r>
      <w:proofErr w:type="spellStart"/>
      <w:r w:rsidRPr="00C12D1F">
        <w:rPr>
          <w:rFonts w:ascii="Tenorite" w:hAnsi="Tenorite"/>
          <w:sz w:val="20"/>
          <w:szCs w:val="20"/>
        </w:rPr>
        <w:t>thréonate</w:t>
      </w:r>
      <w:proofErr w:type="spellEnd"/>
      <w:r w:rsidRPr="00C12D1F">
        <w:rPr>
          <w:rFonts w:ascii="Tenorite" w:hAnsi="Tenorite"/>
          <w:sz w:val="20"/>
          <w:szCs w:val="20"/>
        </w:rPr>
        <w:t xml:space="preserve"> de magnésium en tant que nouvel aliment et modifiant le règlement d’exécution (UE) 2017/2470 (JOUE 18/10/2024)</w:t>
      </w:r>
    </w:p>
    <w:p w14:paraId="097E79EB" w14:textId="77777777" w:rsidR="002B7CB6" w:rsidRPr="005F3EA3" w:rsidRDefault="002B7CB6" w:rsidP="00C12D1F">
      <w:pPr>
        <w:spacing w:after="0" w:line="240" w:lineRule="auto"/>
        <w:ind w:left="284" w:hanging="142"/>
        <w:jc w:val="both"/>
        <w:rPr>
          <w:rFonts w:ascii="Tenorite" w:hAnsi="Tenorite"/>
          <w:b/>
        </w:rPr>
      </w:pPr>
    </w:p>
    <w:p w14:paraId="5417E9F6" w14:textId="77777777" w:rsidR="002B7CB6" w:rsidRPr="005F3EA3" w:rsidRDefault="002B7CB6" w:rsidP="00C12D1F">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p>
    <w:p w14:paraId="529A62D0" w14:textId="77777777" w:rsidR="00C96EFE" w:rsidRPr="00C12D1F" w:rsidRDefault="00C96EFE" w:rsidP="00C12D1F">
      <w:pPr>
        <w:spacing w:after="0" w:line="240" w:lineRule="auto"/>
        <w:ind w:left="142"/>
        <w:jc w:val="both"/>
        <w:rPr>
          <w:rFonts w:ascii="Tenorite" w:hAnsi="Tenorite"/>
          <w:sz w:val="20"/>
          <w:szCs w:val="20"/>
        </w:rPr>
      </w:pPr>
      <w:hyperlink r:id="rId35" w:history="1">
        <w:r w:rsidRPr="00C12D1F">
          <w:rPr>
            <w:rStyle w:val="Lienhypertexte"/>
            <w:rFonts w:ascii="Tenorite" w:hAnsi="Tenorite"/>
            <w:sz w:val="20"/>
            <w:szCs w:val="20"/>
          </w:rPr>
          <w:t>Règlement</w:t>
        </w:r>
      </w:hyperlink>
      <w:r w:rsidRPr="00C12D1F">
        <w:rPr>
          <w:rFonts w:ascii="Tenorite" w:hAnsi="Tenorite"/>
          <w:sz w:val="20"/>
          <w:szCs w:val="20"/>
        </w:rPr>
        <w:t xml:space="preserve"> délégué (UE) 2024/2622 de la Commission du 30 juillet 2024 modifiant l’annexe I du règlement (UE) 2023/1231 du Parlement européen et du Conseil en ce qui concerne l’ajout du règlement (UE) 2023/2419 du Parlement européen et du Conseil à la liste figurant dans ladite annexe [BREXIT] (JOUE 04/10/2024)</w:t>
      </w:r>
    </w:p>
    <w:p w14:paraId="07CDB835" w14:textId="77777777" w:rsidR="00C96EFE" w:rsidRPr="00C12D1F" w:rsidRDefault="00C96EFE" w:rsidP="00C12D1F">
      <w:pPr>
        <w:spacing w:after="0" w:line="240" w:lineRule="auto"/>
        <w:ind w:left="142"/>
        <w:jc w:val="both"/>
        <w:rPr>
          <w:rStyle w:val="Lienhypertexte"/>
          <w:rFonts w:ascii="Tenorite" w:hAnsi="Tenorite"/>
          <w:sz w:val="20"/>
          <w:szCs w:val="20"/>
        </w:rPr>
      </w:pPr>
    </w:p>
    <w:p w14:paraId="7A207948" w14:textId="77777777" w:rsidR="00C96EFE" w:rsidRPr="00C12D1F" w:rsidRDefault="00C96EFE" w:rsidP="00C12D1F">
      <w:pPr>
        <w:spacing w:after="0" w:line="240" w:lineRule="auto"/>
        <w:ind w:left="142"/>
        <w:jc w:val="both"/>
        <w:rPr>
          <w:rFonts w:ascii="Tenorite" w:hAnsi="Tenorite"/>
          <w:sz w:val="20"/>
          <w:szCs w:val="20"/>
        </w:rPr>
      </w:pPr>
      <w:hyperlink r:id="rId36" w:history="1">
        <w:r w:rsidRPr="00C12D1F">
          <w:rPr>
            <w:rStyle w:val="Lienhypertexte"/>
            <w:rFonts w:ascii="Tenorite" w:hAnsi="Tenorite"/>
            <w:sz w:val="20"/>
            <w:szCs w:val="20"/>
          </w:rPr>
          <w:t>Règlement</w:t>
        </w:r>
      </w:hyperlink>
      <w:r w:rsidRPr="00C12D1F">
        <w:rPr>
          <w:rFonts w:ascii="Tenorite" w:hAnsi="Tenorite"/>
          <w:sz w:val="20"/>
          <w:szCs w:val="20"/>
        </w:rPr>
        <w:t xml:space="preserve"> d’exécution (UE) 2024/2522 de la Commission du 23 septembre 2024 modifiant l’annexe I du règlement (CEE) no 2658/87 du Conseil relatif à la nomenclature tarifaire et statistique et au tarif douanier commun (JOUE 31/10/2024)</w:t>
      </w:r>
    </w:p>
    <w:p w14:paraId="3477680C" w14:textId="77777777" w:rsidR="002B7CB6" w:rsidRPr="005F3EA3" w:rsidRDefault="002B7CB6" w:rsidP="00C12D1F">
      <w:pPr>
        <w:spacing w:after="0" w:line="240" w:lineRule="auto"/>
        <w:ind w:left="284" w:hanging="142"/>
        <w:jc w:val="both"/>
        <w:rPr>
          <w:rFonts w:ascii="Tenorite" w:hAnsi="Tenorite"/>
          <w:b/>
        </w:rPr>
      </w:pPr>
    </w:p>
    <w:p w14:paraId="63DF5A7E" w14:textId="77777777" w:rsidR="002B7CB6" w:rsidRPr="005F3EA3" w:rsidRDefault="002B7CB6" w:rsidP="00C12D1F">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F3EA3">
        <w:rPr>
          <w:rFonts w:ascii="Tenorite" w:hAnsi="Tenorite"/>
          <w:b/>
          <w:color w:val="833C0B" w:themeColor="accent2" w:themeShade="80"/>
          <w:sz w:val="24"/>
        </w:rPr>
        <w:t>MATERIAUX AU CONTACT – CONDITIONNEMENT - EMBALLAGE</w:t>
      </w:r>
    </w:p>
    <w:p w14:paraId="0A9F6E37" w14:textId="42755420" w:rsidR="002B7CB6" w:rsidRPr="005F3EA3" w:rsidRDefault="00A31270" w:rsidP="00C12D1F">
      <w:pPr>
        <w:spacing w:after="0" w:line="240" w:lineRule="auto"/>
        <w:ind w:left="284" w:hanging="142"/>
        <w:jc w:val="both"/>
        <w:rPr>
          <w:rFonts w:ascii="Tenorite" w:hAnsi="Tenorite"/>
          <w:b/>
        </w:rPr>
      </w:pPr>
      <w:r>
        <w:rPr>
          <w:rFonts w:ascii="Tenorite" w:hAnsi="Tenorite"/>
          <w:b/>
        </w:rPr>
        <w:t>/</w:t>
      </w:r>
    </w:p>
    <w:p w14:paraId="2153F0AD" w14:textId="77777777" w:rsidR="002B7CB6" w:rsidRPr="005F3EA3" w:rsidRDefault="002B7CB6" w:rsidP="00C12D1F">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2C44D545" w14:textId="2A292E90" w:rsidR="001B42BB" w:rsidRPr="005F3EA3" w:rsidRDefault="00A31270" w:rsidP="00C12D1F">
      <w:pPr>
        <w:spacing w:after="0" w:line="240" w:lineRule="auto"/>
        <w:ind w:left="284" w:hanging="142"/>
        <w:jc w:val="both"/>
        <w:rPr>
          <w:rFonts w:ascii="Tenorite" w:hAnsi="Tenorite"/>
          <w:b/>
        </w:rPr>
      </w:pPr>
      <w:r>
        <w:rPr>
          <w:rFonts w:ascii="Tenorite" w:hAnsi="Tenorite"/>
          <w:b/>
        </w:rPr>
        <w:t>/</w:t>
      </w:r>
    </w:p>
    <w:p w14:paraId="67B68949" w14:textId="77777777" w:rsidR="002B7CB6" w:rsidRPr="005F3EA3" w:rsidRDefault="002B7CB6" w:rsidP="00C12D1F">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F3EA3">
        <w:rPr>
          <w:rFonts w:ascii="Tenorite" w:hAnsi="Tenorite"/>
          <w:b/>
          <w:color w:val="833C0B" w:themeColor="accent2" w:themeShade="80"/>
          <w:sz w:val="24"/>
        </w:rPr>
        <w:t>OGM</w:t>
      </w:r>
    </w:p>
    <w:p w14:paraId="30B53483" w14:textId="77777777" w:rsidR="00C12D1F" w:rsidRPr="00C12D1F" w:rsidRDefault="00C12D1F" w:rsidP="00C12D1F">
      <w:pPr>
        <w:pStyle w:val="Textebrut"/>
        <w:ind w:left="142"/>
        <w:jc w:val="both"/>
        <w:rPr>
          <w:rFonts w:ascii="Tenorite" w:hAnsi="Tenorite"/>
          <w:sz w:val="20"/>
          <w:szCs w:val="20"/>
        </w:rPr>
      </w:pPr>
      <w:hyperlink r:id="rId37" w:history="1">
        <w:r w:rsidRPr="00C12D1F">
          <w:rPr>
            <w:rStyle w:val="Lienhypertexte"/>
            <w:rFonts w:ascii="Tenorite" w:hAnsi="Tenorite"/>
            <w:sz w:val="20"/>
            <w:szCs w:val="20"/>
          </w:rPr>
          <w:t>Décision</w:t>
        </w:r>
      </w:hyperlink>
      <w:r w:rsidRPr="00C12D1F">
        <w:rPr>
          <w:rFonts w:ascii="Tenorite" w:hAnsi="Tenorite"/>
          <w:sz w:val="20"/>
          <w:szCs w:val="20"/>
        </w:rPr>
        <w:t xml:space="preserve"> d’exécution (UE) 2024/2618 de la Commission du 8 octobre 2024 autorisant la mise sur le marché de produits contenant du maïs génétiquement modifié DP202216, consistant en ce maïs ou produits à partir de celui-ci, en application du règlement (CE) no 1829/2003 du Parlement européen et du Conseil (JOUE 10/10/2024)</w:t>
      </w:r>
    </w:p>
    <w:p w14:paraId="32AC54DD" w14:textId="77777777" w:rsidR="00C12D1F" w:rsidRPr="00C12D1F" w:rsidRDefault="00C12D1F" w:rsidP="00C12D1F">
      <w:pPr>
        <w:pStyle w:val="Textebrut"/>
        <w:ind w:left="142"/>
        <w:jc w:val="both"/>
        <w:rPr>
          <w:rFonts w:ascii="Tenorite" w:hAnsi="Tenorite"/>
          <w:sz w:val="20"/>
          <w:szCs w:val="20"/>
        </w:rPr>
      </w:pPr>
    </w:p>
    <w:p w14:paraId="184082DF" w14:textId="77777777" w:rsidR="00C12D1F" w:rsidRPr="00C12D1F" w:rsidRDefault="00C12D1F" w:rsidP="00C12D1F">
      <w:pPr>
        <w:pStyle w:val="Textebrut"/>
        <w:ind w:left="142"/>
        <w:jc w:val="both"/>
        <w:rPr>
          <w:rFonts w:ascii="Tenorite" w:hAnsi="Tenorite"/>
          <w:sz w:val="20"/>
          <w:szCs w:val="20"/>
        </w:rPr>
      </w:pPr>
      <w:hyperlink r:id="rId38" w:history="1">
        <w:r w:rsidRPr="00C12D1F">
          <w:rPr>
            <w:rStyle w:val="Lienhypertexte"/>
            <w:rFonts w:ascii="Tenorite" w:hAnsi="Tenorite"/>
            <w:sz w:val="20"/>
            <w:szCs w:val="20"/>
          </w:rPr>
          <w:t>Décision</w:t>
        </w:r>
      </w:hyperlink>
      <w:r w:rsidRPr="00C12D1F">
        <w:rPr>
          <w:rFonts w:ascii="Tenorite" w:hAnsi="Tenorite"/>
          <w:sz w:val="20"/>
          <w:szCs w:val="20"/>
        </w:rPr>
        <w:t xml:space="preserve"> d’exécution (UE) 2024/2628 de la Commission du 8 octobre 2024 renouvelant l’autorisation de mise sur le marché de produits contenant du maïs génétiquement modifié MON 89034</w:t>
      </w:r>
      <w:r w:rsidRPr="00C12D1F">
        <w:rPr>
          <w:rFonts w:ascii="Times New Roman" w:hAnsi="Times New Roman" w:cs="Times New Roman"/>
          <w:sz w:val="20"/>
          <w:szCs w:val="20"/>
        </w:rPr>
        <w:t> </w:t>
      </w:r>
      <w:r w:rsidRPr="00C12D1F">
        <w:rPr>
          <w:rFonts w:ascii="Tenorite" w:hAnsi="Tenorite" w:cs="Tenorite"/>
          <w:sz w:val="20"/>
          <w:szCs w:val="20"/>
        </w:rPr>
        <w:t>×</w:t>
      </w:r>
      <w:r w:rsidRPr="00C12D1F">
        <w:rPr>
          <w:rFonts w:ascii="Times New Roman" w:hAnsi="Times New Roman" w:cs="Times New Roman"/>
          <w:sz w:val="20"/>
          <w:szCs w:val="20"/>
        </w:rPr>
        <w:t> </w:t>
      </w:r>
      <w:r w:rsidRPr="00C12D1F">
        <w:rPr>
          <w:rFonts w:ascii="Tenorite" w:hAnsi="Tenorite"/>
          <w:sz w:val="20"/>
          <w:szCs w:val="20"/>
        </w:rPr>
        <w:t>1507</w:t>
      </w:r>
      <w:r w:rsidRPr="00C12D1F">
        <w:rPr>
          <w:rFonts w:ascii="Times New Roman" w:hAnsi="Times New Roman" w:cs="Times New Roman"/>
          <w:sz w:val="20"/>
          <w:szCs w:val="20"/>
        </w:rPr>
        <w:t> </w:t>
      </w:r>
      <w:r w:rsidRPr="00C12D1F">
        <w:rPr>
          <w:rFonts w:ascii="Tenorite" w:hAnsi="Tenorite" w:cs="Tenorite"/>
          <w:sz w:val="20"/>
          <w:szCs w:val="20"/>
        </w:rPr>
        <w:t>×</w:t>
      </w:r>
      <w:r w:rsidRPr="00C12D1F">
        <w:rPr>
          <w:rFonts w:ascii="Times New Roman" w:hAnsi="Times New Roman" w:cs="Times New Roman"/>
          <w:sz w:val="20"/>
          <w:szCs w:val="20"/>
        </w:rPr>
        <w:t> </w:t>
      </w:r>
      <w:r w:rsidRPr="00C12D1F">
        <w:rPr>
          <w:rFonts w:ascii="Tenorite" w:hAnsi="Tenorite"/>
          <w:sz w:val="20"/>
          <w:szCs w:val="20"/>
        </w:rPr>
        <w:t>NK603, consistant en ce ma</w:t>
      </w:r>
      <w:r w:rsidRPr="00C12D1F">
        <w:rPr>
          <w:rFonts w:ascii="Tenorite" w:hAnsi="Tenorite" w:cs="Tenorite"/>
          <w:sz w:val="20"/>
          <w:szCs w:val="20"/>
        </w:rPr>
        <w:t>ï</w:t>
      </w:r>
      <w:r w:rsidRPr="00C12D1F">
        <w:rPr>
          <w:rFonts w:ascii="Tenorite" w:hAnsi="Tenorite"/>
          <w:sz w:val="20"/>
          <w:szCs w:val="20"/>
        </w:rPr>
        <w:t xml:space="preserve">s ou produits </w:t>
      </w:r>
      <w:r w:rsidRPr="00C12D1F">
        <w:rPr>
          <w:rFonts w:ascii="Tenorite" w:hAnsi="Tenorite" w:cs="Tenorite"/>
          <w:sz w:val="20"/>
          <w:szCs w:val="20"/>
        </w:rPr>
        <w:t>à</w:t>
      </w:r>
      <w:r w:rsidRPr="00C12D1F">
        <w:rPr>
          <w:rFonts w:ascii="Tenorite" w:hAnsi="Tenorite"/>
          <w:sz w:val="20"/>
          <w:szCs w:val="20"/>
        </w:rPr>
        <w:t xml:space="preserve"> partir de celui-ci, en application du r</w:t>
      </w:r>
      <w:r w:rsidRPr="00C12D1F">
        <w:rPr>
          <w:rFonts w:ascii="Tenorite" w:hAnsi="Tenorite" w:cs="Tenorite"/>
          <w:sz w:val="20"/>
          <w:szCs w:val="20"/>
        </w:rPr>
        <w:t>è</w:t>
      </w:r>
      <w:r w:rsidRPr="00C12D1F">
        <w:rPr>
          <w:rFonts w:ascii="Tenorite" w:hAnsi="Tenorite"/>
          <w:sz w:val="20"/>
          <w:szCs w:val="20"/>
        </w:rPr>
        <w:t>glement (CE) no 1829/2003 du Parlement europ</w:t>
      </w:r>
      <w:r w:rsidRPr="00C12D1F">
        <w:rPr>
          <w:rFonts w:ascii="Tenorite" w:hAnsi="Tenorite" w:cs="Tenorite"/>
          <w:sz w:val="20"/>
          <w:szCs w:val="20"/>
        </w:rPr>
        <w:t>é</w:t>
      </w:r>
      <w:r w:rsidRPr="00C12D1F">
        <w:rPr>
          <w:rFonts w:ascii="Tenorite" w:hAnsi="Tenorite"/>
          <w:sz w:val="20"/>
          <w:szCs w:val="20"/>
        </w:rPr>
        <w:t>en et du Conseil (JOUE 10/10/2024)</w:t>
      </w:r>
    </w:p>
    <w:p w14:paraId="7DE95DA7" w14:textId="77777777" w:rsidR="00C12D1F" w:rsidRPr="00C12D1F" w:rsidRDefault="00C12D1F" w:rsidP="00C12D1F">
      <w:pPr>
        <w:pStyle w:val="Textebrut"/>
        <w:ind w:left="142"/>
        <w:jc w:val="both"/>
        <w:rPr>
          <w:rFonts w:ascii="Tenorite" w:hAnsi="Tenorite"/>
          <w:sz w:val="20"/>
          <w:szCs w:val="20"/>
        </w:rPr>
      </w:pPr>
    </w:p>
    <w:p w14:paraId="279CDA8D" w14:textId="77777777" w:rsidR="00C12D1F" w:rsidRPr="00C12D1F" w:rsidRDefault="00C12D1F" w:rsidP="00C12D1F">
      <w:pPr>
        <w:pStyle w:val="Textebrut"/>
        <w:ind w:left="142"/>
        <w:jc w:val="both"/>
        <w:rPr>
          <w:rFonts w:ascii="Tenorite" w:hAnsi="Tenorite"/>
          <w:sz w:val="20"/>
          <w:szCs w:val="20"/>
        </w:rPr>
      </w:pPr>
      <w:hyperlink r:id="rId39" w:history="1">
        <w:r w:rsidRPr="00C12D1F">
          <w:rPr>
            <w:rStyle w:val="Lienhypertexte"/>
            <w:rFonts w:ascii="Tenorite" w:hAnsi="Tenorite"/>
            <w:sz w:val="20"/>
            <w:szCs w:val="20"/>
          </w:rPr>
          <w:t>Décision</w:t>
        </w:r>
      </w:hyperlink>
      <w:r w:rsidRPr="00C12D1F">
        <w:rPr>
          <w:rFonts w:ascii="Tenorite" w:hAnsi="Tenorite"/>
          <w:sz w:val="20"/>
          <w:szCs w:val="20"/>
        </w:rPr>
        <w:t xml:space="preserve"> d’exécution (UE) 2024/2629 de la Commission du 8 octobre 2024 renouvelant l’autorisation de mise sur le marché de produits contenant du maïs génétiquement modifié MON 89034 × 1507 × MON 88017 × 59122 et huit de ses sous-combinaisons, consistant en ce maïs et ses sous-combinaisons ou produits à partir de ceux-ci, conformément au règlement (CE) no 1829/2003 du Parlement européen et du Conseil (JOUE 10/10/2024)</w:t>
      </w:r>
    </w:p>
    <w:p w14:paraId="60BDB1D3" w14:textId="77777777" w:rsidR="001B42BB" w:rsidRPr="005F3EA3" w:rsidRDefault="001B42BB" w:rsidP="00C12D1F">
      <w:pPr>
        <w:spacing w:after="0" w:line="240" w:lineRule="auto"/>
        <w:ind w:left="284" w:hanging="142"/>
        <w:jc w:val="both"/>
        <w:rPr>
          <w:rFonts w:ascii="Tenorite" w:hAnsi="Tenorite"/>
          <w:b/>
        </w:rPr>
      </w:pPr>
    </w:p>
    <w:p w14:paraId="685BD29A" w14:textId="77777777" w:rsidR="002B7CB6" w:rsidRPr="005F3EA3" w:rsidRDefault="002B7CB6" w:rsidP="00C12D1F">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F3EA3">
        <w:rPr>
          <w:rFonts w:ascii="Tenorite" w:hAnsi="Tenorite"/>
          <w:b/>
          <w:color w:val="833C0B" w:themeColor="accent2" w:themeShade="80"/>
          <w:sz w:val="24"/>
        </w:rPr>
        <w:t>SIGNES DE QUALITE</w:t>
      </w:r>
    </w:p>
    <w:p w14:paraId="7B92949B" w14:textId="64B6579E" w:rsidR="001B42BB" w:rsidRDefault="005F3EA3" w:rsidP="00C12D1F">
      <w:pPr>
        <w:spacing w:after="0" w:line="240" w:lineRule="auto"/>
        <w:ind w:left="284" w:hanging="142"/>
        <w:jc w:val="both"/>
        <w:rPr>
          <w:rFonts w:ascii="Tenorite" w:hAnsi="Tenorite"/>
          <w:color w:val="C45911" w:themeColor="accent2" w:themeShade="BF"/>
          <w:sz w:val="20"/>
        </w:rPr>
      </w:pPr>
      <w:r>
        <w:rPr>
          <w:rFonts w:ascii="Tenorite" w:hAnsi="Tenorite"/>
          <w:color w:val="C45911" w:themeColor="accent2" w:themeShade="BF"/>
          <w:sz w:val="20"/>
        </w:rPr>
        <w:t xml:space="preserve">Autres </w:t>
      </w:r>
    </w:p>
    <w:p w14:paraId="59D504EE" w14:textId="77777777" w:rsidR="00C96EFE" w:rsidRPr="00C96EFE" w:rsidRDefault="00C96EFE" w:rsidP="00C12D1F">
      <w:pPr>
        <w:adjustRightInd w:val="0"/>
        <w:spacing w:after="0" w:line="240" w:lineRule="auto"/>
        <w:ind w:left="142"/>
        <w:jc w:val="both"/>
        <w:rPr>
          <w:rStyle w:val="Lienhypertexte"/>
          <w:rFonts w:ascii="Tenorite" w:hAnsi="Tenorite"/>
          <w:sz w:val="20"/>
          <w:szCs w:val="20"/>
        </w:rPr>
      </w:pPr>
      <w:hyperlink r:id="rId40" w:history="1">
        <w:r w:rsidRPr="00C96EFE">
          <w:rPr>
            <w:rStyle w:val="Lienhypertexte"/>
            <w:rFonts w:ascii="Tenorite" w:hAnsi="Tenorite"/>
            <w:sz w:val="20"/>
            <w:szCs w:val="20"/>
          </w:rPr>
          <w:t>Rectificatif</w:t>
        </w:r>
      </w:hyperlink>
      <w:r w:rsidRPr="00C96EFE">
        <w:rPr>
          <w:rFonts w:ascii="Tenorite" w:hAnsi="Tenorite"/>
          <w:sz w:val="20"/>
          <w:szCs w:val="20"/>
        </w:rPr>
        <w:t xml:space="preserve"> au règlement (UE) 2024/1143 du Parlement européen et du Conseil du 11 avril 2024 concernant les indications géographiques relatives au vin, aux boissons spiritueuses et aux produits agricoles, ainsi que les spécialités traditionnelles garanties et les mentions de qualité facultatives pour les produits agricoles, modifiant les règlements (UE) n° 1308/2013, (UE) 2019/787 et (UE) 2019/1753 et abrogeant le règlement (UE) n° 1151/2012 (JOUE 03/10/2024)</w:t>
      </w:r>
    </w:p>
    <w:p w14:paraId="004E32DE" w14:textId="77777777" w:rsidR="005F3EA3" w:rsidRPr="005F3EA3" w:rsidRDefault="005F3EA3" w:rsidP="00C12D1F">
      <w:pPr>
        <w:spacing w:after="0" w:line="240" w:lineRule="auto"/>
        <w:ind w:left="284" w:hanging="142"/>
        <w:jc w:val="both"/>
        <w:rPr>
          <w:rFonts w:ascii="Tenorite" w:hAnsi="Tenorite"/>
          <w:b/>
        </w:rPr>
      </w:pPr>
    </w:p>
    <w:p w14:paraId="415BEA78" w14:textId="77777777" w:rsidR="002B7CB6" w:rsidRPr="005F3EA3" w:rsidRDefault="002B7CB6" w:rsidP="00C12D1F">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F3EA3">
        <w:rPr>
          <w:rFonts w:ascii="Tenorite" w:hAnsi="Tenorite"/>
          <w:b/>
          <w:color w:val="833C0B" w:themeColor="accent2" w:themeShade="80"/>
          <w:sz w:val="24"/>
        </w:rPr>
        <w:t>TRAITEMENTS DE CONSERVATION</w:t>
      </w:r>
    </w:p>
    <w:p w14:paraId="6AADF2DD" w14:textId="614016DF" w:rsidR="001B42BB" w:rsidRPr="00A31270" w:rsidRDefault="00A31270" w:rsidP="00C12D1F">
      <w:pPr>
        <w:spacing w:after="0" w:line="240" w:lineRule="auto"/>
        <w:ind w:left="284" w:hanging="142"/>
        <w:jc w:val="both"/>
        <w:rPr>
          <w:rFonts w:ascii="Tenorite" w:hAnsi="Tenorite"/>
          <w:b/>
          <w:bCs/>
          <w:sz w:val="20"/>
        </w:rPr>
      </w:pPr>
      <w:r w:rsidRPr="00A31270">
        <w:rPr>
          <w:rFonts w:ascii="Tenorite" w:hAnsi="Tenorite"/>
          <w:b/>
          <w:bCs/>
          <w:sz w:val="20"/>
        </w:rPr>
        <w:t>/</w:t>
      </w:r>
    </w:p>
    <w:p w14:paraId="72ACAB2C" w14:textId="77777777" w:rsidR="00D025D4" w:rsidRPr="005F3EA3" w:rsidRDefault="00D025D4" w:rsidP="00C12D1F">
      <w:pPr>
        <w:tabs>
          <w:tab w:val="left" w:pos="4785"/>
        </w:tabs>
        <w:spacing w:after="0" w:line="240" w:lineRule="auto"/>
        <w:jc w:val="both"/>
        <w:rPr>
          <w:rFonts w:ascii="Tenorite" w:hAnsi="Tenorite"/>
        </w:rPr>
      </w:pPr>
      <w:r w:rsidRPr="005F3EA3">
        <w:rPr>
          <w:rFonts w:ascii="Tenorite" w:hAnsi="Tenorite"/>
        </w:rPr>
        <w:tab/>
      </w:r>
    </w:p>
    <w:p w14:paraId="652FAA4C" w14:textId="77777777" w:rsidR="00D025D4" w:rsidRPr="005F3EA3" w:rsidRDefault="00D025D4" w:rsidP="00C12D1F">
      <w:pPr>
        <w:spacing w:after="0" w:line="240" w:lineRule="auto"/>
        <w:ind w:left="709" w:hanging="283"/>
        <w:jc w:val="both"/>
        <w:rPr>
          <w:rFonts w:ascii="Tenorite" w:hAnsi="Tenorite" w:cs="Tahoma"/>
          <w:b/>
          <w:color w:val="EF671A"/>
          <w:sz w:val="8"/>
          <w:szCs w:val="8"/>
          <w:u w:val="single"/>
        </w:rPr>
      </w:pPr>
    </w:p>
    <w:p w14:paraId="70A5146D" w14:textId="77777777" w:rsidR="00D025D4" w:rsidRPr="002D342B" w:rsidRDefault="00D025D4" w:rsidP="00C12D1F">
      <w:pPr>
        <w:spacing w:after="0" w:line="240" w:lineRule="auto"/>
        <w:ind w:left="426" w:hanging="283"/>
        <w:jc w:val="both"/>
        <w:rPr>
          <w:rFonts w:ascii="Tenorite" w:hAnsi="Tenorite" w:cs="Tahoma"/>
          <w:b/>
          <w:color w:val="EF671A"/>
          <w:sz w:val="24"/>
          <w:szCs w:val="24"/>
          <w:u w:val="single"/>
        </w:rPr>
      </w:pPr>
      <w:r w:rsidRPr="005F3EA3">
        <w:rPr>
          <w:rFonts w:ascii="Tenorite" w:hAnsi="Tenorite" w:cs="Tahoma"/>
          <w:b/>
          <w:color w:val="EF671A"/>
          <w:sz w:val="32"/>
          <w:szCs w:val="32"/>
          <w:u w:val="single"/>
        </w:rPr>
        <w:t>Partie 2 : Règlementation verticale</w:t>
      </w:r>
      <w:r w:rsidRPr="005F3EA3">
        <w:rPr>
          <w:rFonts w:ascii="Tenorite" w:hAnsi="Tenorite" w:cs="Tahoma"/>
          <w:b/>
          <w:color w:val="EF671A"/>
          <w:sz w:val="32"/>
          <w:szCs w:val="32"/>
        </w:rPr>
        <w:t xml:space="preserve"> : </w:t>
      </w:r>
      <w:r w:rsidRPr="002D342B">
        <w:rPr>
          <w:rFonts w:ascii="Tenorite" w:hAnsi="Tenorite" w:cs="Tahoma"/>
          <w:b/>
          <w:color w:val="EF671A"/>
          <w:sz w:val="24"/>
          <w:szCs w:val="24"/>
        </w:rPr>
        <w:t>Secteurs d’activité (Matières traitées et produits finis)</w:t>
      </w:r>
    </w:p>
    <w:p w14:paraId="39BCDC7C" w14:textId="77777777" w:rsidR="00D025D4" w:rsidRPr="005F3EA3" w:rsidRDefault="00D025D4" w:rsidP="00C12D1F">
      <w:pPr>
        <w:shd w:val="clear" w:color="auto" w:fill="D9D9D9" w:themeFill="background1" w:themeFillShade="D9"/>
        <w:spacing w:after="0" w:line="240" w:lineRule="auto"/>
        <w:ind w:left="426" w:hanging="283"/>
        <w:jc w:val="both"/>
        <w:rPr>
          <w:rFonts w:ascii="Tenorite" w:hAnsi="Tenorite"/>
          <w:b/>
        </w:rPr>
      </w:pPr>
      <w:r w:rsidRPr="005F3EA3">
        <w:rPr>
          <w:rFonts w:ascii="Tenorite" w:hAnsi="Tenorite"/>
          <w:b/>
          <w:color w:val="833C0B" w:themeColor="accent2" w:themeShade="80"/>
          <w:sz w:val="24"/>
          <w:szCs w:val="24"/>
        </w:rPr>
        <w:t>FRUITS ET LEGUMES - VEGETAUX</w:t>
      </w:r>
    </w:p>
    <w:p w14:paraId="449302FA" w14:textId="77777777" w:rsidR="0012180A" w:rsidRDefault="0012180A" w:rsidP="00C12D1F">
      <w:pPr>
        <w:spacing w:after="0" w:line="240" w:lineRule="auto"/>
        <w:ind w:left="426" w:hanging="283"/>
        <w:jc w:val="both"/>
        <w:rPr>
          <w:rFonts w:ascii="Tenorite" w:hAnsi="Tenorite"/>
          <w:color w:val="C45911" w:themeColor="accent2" w:themeShade="BF"/>
          <w:sz w:val="20"/>
        </w:rPr>
      </w:pPr>
      <w:r w:rsidRPr="005F3EA3">
        <w:rPr>
          <w:rFonts w:ascii="Tenorite" w:hAnsi="Tenorite"/>
          <w:color w:val="C45911" w:themeColor="accent2" w:themeShade="BF"/>
          <w:sz w:val="20"/>
        </w:rPr>
        <w:t>Maladies des végétaux</w:t>
      </w:r>
    </w:p>
    <w:p w14:paraId="4D774076" w14:textId="77777777" w:rsidR="00AB0FA2" w:rsidRDefault="00AB0FA2" w:rsidP="00C12D1F">
      <w:pPr>
        <w:shd w:val="clear" w:color="auto" w:fill="FFFFFF"/>
        <w:spacing w:after="0" w:line="240" w:lineRule="auto"/>
        <w:ind w:left="142"/>
        <w:jc w:val="both"/>
        <w:rPr>
          <w:rFonts w:ascii="Tenorite" w:eastAsia="Times New Roman" w:hAnsi="Tenorite" w:cs="Times New Roman"/>
          <w:sz w:val="20"/>
          <w:szCs w:val="20"/>
          <w:lang w:eastAsia="fr-FR"/>
        </w:rPr>
      </w:pPr>
      <w:r w:rsidRPr="00C12D1F">
        <w:rPr>
          <w:rFonts w:ascii="Tenorite" w:eastAsia="Times New Roman" w:hAnsi="Tenorite" w:cs="Times New Roman"/>
          <w:b/>
          <w:bCs/>
          <w:sz w:val="20"/>
          <w:szCs w:val="20"/>
          <w:lang w:eastAsia="fr-FR"/>
        </w:rPr>
        <w:t>Instruction technique </w:t>
      </w:r>
      <w:hyperlink r:id="rId41" w:history="1">
        <w:r w:rsidRPr="00C12D1F">
          <w:rPr>
            <w:rFonts w:ascii="Tenorite" w:eastAsia="Times New Roman" w:hAnsi="Tenorite" w:cs="Times New Roman"/>
            <w:sz w:val="20"/>
            <w:szCs w:val="20"/>
            <w:u w:val="single"/>
            <w:lang w:eastAsia="fr-FR"/>
          </w:rPr>
          <w:t>DGAL/SDSPV/2024-566</w:t>
        </w:r>
      </w:hyperlink>
      <w:r w:rsidRPr="00C12D1F">
        <w:rPr>
          <w:rFonts w:ascii="Tenorite" w:eastAsia="Times New Roman" w:hAnsi="Tenorite" w:cs="Times New Roman"/>
          <w:sz w:val="20"/>
          <w:szCs w:val="20"/>
          <w:lang w:eastAsia="fr-FR"/>
        </w:rPr>
        <w:t xml:space="preserve"> du 04-10-2024 - Plan national d'intervention sanitaire d'urgence – </w:t>
      </w:r>
      <w:proofErr w:type="spellStart"/>
      <w:r w:rsidRPr="00C12D1F">
        <w:rPr>
          <w:rFonts w:ascii="Tenorite" w:eastAsia="Times New Roman" w:hAnsi="Tenorite" w:cs="Times New Roman"/>
          <w:sz w:val="20"/>
          <w:szCs w:val="20"/>
          <w:lang w:eastAsia="fr-FR"/>
        </w:rPr>
        <w:t>Spodoptera</w:t>
      </w:r>
      <w:proofErr w:type="spellEnd"/>
      <w:r w:rsidRPr="00C12D1F">
        <w:rPr>
          <w:rFonts w:ascii="Tenorite" w:eastAsia="Times New Roman" w:hAnsi="Tenorite" w:cs="Times New Roman"/>
          <w:sz w:val="20"/>
          <w:szCs w:val="20"/>
          <w:lang w:eastAsia="fr-FR"/>
        </w:rPr>
        <w:t xml:space="preserve"> </w:t>
      </w:r>
      <w:proofErr w:type="spellStart"/>
      <w:r w:rsidRPr="00C12D1F">
        <w:rPr>
          <w:rFonts w:ascii="Tenorite" w:eastAsia="Times New Roman" w:hAnsi="Tenorite" w:cs="Times New Roman"/>
          <w:sz w:val="20"/>
          <w:szCs w:val="20"/>
          <w:lang w:eastAsia="fr-FR"/>
        </w:rPr>
        <w:t>frugiperda</w:t>
      </w:r>
      <w:proofErr w:type="spellEnd"/>
      <w:r w:rsidRPr="00C12D1F">
        <w:rPr>
          <w:rFonts w:ascii="Tenorite" w:eastAsia="Times New Roman" w:hAnsi="Tenorite" w:cs="Times New Roman"/>
          <w:sz w:val="20"/>
          <w:szCs w:val="20"/>
          <w:lang w:eastAsia="fr-FR"/>
        </w:rPr>
        <w:t xml:space="preserve"> (DGAL)</w:t>
      </w:r>
    </w:p>
    <w:p w14:paraId="5B14B400" w14:textId="77777777" w:rsidR="00C12D1F" w:rsidRPr="00C12D1F" w:rsidRDefault="00C12D1F" w:rsidP="00C12D1F">
      <w:pPr>
        <w:shd w:val="clear" w:color="auto" w:fill="FFFFFF"/>
        <w:spacing w:after="0" w:line="240" w:lineRule="auto"/>
        <w:ind w:left="142"/>
        <w:jc w:val="both"/>
        <w:rPr>
          <w:rStyle w:val="Lienhypertexte"/>
          <w:rFonts w:ascii="Tenorite" w:eastAsia="Times New Roman" w:hAnsi="Tenorite" w:cs="Times New Roman"/>
          <w:color w:val="auto"/>
          <w:sz w:val="20"/>
          <w:szCs w:val="20"/>
          <w:lang w:eastAsia="fr-FR"/>
        </w:rPr>
      </w:pPr>
    </w:p>
    <w:p w14:paraId="72F0DCC9" w14:textId="77777777" w:rsidR="00AB0FA2" w:rsidRDefault="00AB0FA2" w:rsidP="00C12D1F">
      <w:pPr>
        <w:shd w:val="clear" w:color="auto" w:fill="FFFFFF"/>
        <w:spacing w:after="0" w:line="240" w:lineRule="auto"/>
        <w:ind w:left="142"/>
        <w:jc w:val="both"/>
        <w:rPr>
          <w:rFonts w:ascii="Tenorite" w:eastAsia="Times New Roman" w:hAnsi="Tenorite" w:cs="Times New Roman"/>
          <w:sz w:val="20"/>
          <w:szCs w:val="20"/>
          <w:lang w:eastAsia="fr-FR"/>
        </w:rPr>
      </w:pPr>
      <w:hyperlink r:id="rId42" w:history="1">
        <w:r w:rsidRPr="00C12D1F">
          <w:rPr>
            <w:rFonts w:ascii="Tenorite" w:eastAsia="Times New Roman" w:hAnsi="Tenorite" w:cs="Times New Roman"/>
            <w:b/>
            <w:bCs/>
            <w:sz w:val="20"/>
            <w:szCs w:val="20"/>
            <w:u w:val="single"/>
            <w:lang w:eastAsia="fr-FR"/>
          </w:rPr>
          <w:t>Arrêté</w:t>
        </w:r>
      </w:hyperlink>
      <w:r w:rsidRPr="00C12D1F">
        <w:rPr>
          <w:rFonts w:ascii="Tenorite" w:eastAsia="Times New Roman" w:hAnsi="Tenorite" w:cs="Times New Roman"/>
          <w:sz w:val="20"/>
          <w:szCs w:val="20"/>
          <w:lang w:eastAsia="fr-FR"/>
        </w:rPr>
        <w:t> du 08-10-2024 autorisant l'entrée sur le territoire et d'introduction dans l'environnement de macro-organisme utile aux végétaux (DGAL)</w:t>
      </w:r>
    </w:p>
    <w:p w14:paraId="6EFF751A" w14:textId="77777777" w:rsidR="00C12D1F" w:rsidRPr="00C12D1F" w:rsidRDefault="00C12D1F" w:rsidP="00C12D1F">
      <w:pPr>
        <w:shd w:val="clear" w:color="auto" w:fill="FFFFFF"/>
        <w:spacing w:after="0" w:line="240" w:lineRule="auto"/>
        <w:ind w:left="142"/>
        <w:jc w:val="both"/>
        <w:rPr>
          <w:rFonts w:ascii="Tenorite" w:eastAsia="Times New Roman" w:hAnsi="Tenorite" w:cs="Times New Roman"/>
          <w:sz w:val="20"/>
          <w:szCs w:val="20"/>
          <w:lang w:eastAsia="fr-FR"/>
        </w:rPr>
      </w:pPr>
    </w:p>
    <w:p w14:paraId="35693919" w14:textId="77777777" w:rsidR="00AB0FA2" w:rsidRDefault="00AB0FA2" w:rsidP="00C12D1F">
      <w:pPr>
        <w:shd w:val="clear" w:color="auto" w:fill="FFFFFF"/>
        <w:spacing w:after="0" w:line="240" w:lineRule="auto"/>
        <w:ind w:left="142"/>
        <w:jc w:val="both"/>
        <w:rPr>
          <w:rFonts w:ascii="Tenorite" w:eastAsia="Times New Roman" w:hAnsi="Tenorite" w:cs="Times New Roman"/>
          <w:sz w:val="20"/>
          <w:szCs w:val="20"/>
          <w:lang w:eastAsia="fr-FR"/>
        </w:rPr>
      </w:pPr>
      <w:r w:rsidRPr="00C12D1F">
        <w:rPr>
          <w:rFonts w:ascii="Tenorite" w:eastAsia="Times New Roman" w:hAnsi="Tenorite" w:cs="Times New Roman"/>
          <w:b/>
          <w:bCs/>
          <w:sz w:val="20"/>
          <w:szCs w:val="20"/>
          <w:lang w:eastAsia="fr-FR"/>
        </w:rPr>
        <w:t>Instruction technique </w:t>
      </w:r>
      <w:bookmarkStart w:id="0" w:name="_Hlk181785094"/>
      <w:r w:rsidRPr="00C12D1F">
        <w:rPr>
          <w:rFonts w:ascii="Tenorite" w:eastAsia="Times New Roman" w:hAnsi="Tenorite" w:cs="Times New Roman"/>
          <w:sz w:val="20"/>
          <w:szCs w:val="20"/>
          <w:lang w:eastAsia="fr-FR"/>
        </w:rPr>
        <w:fldChar w:fldCharType="begin"/>
      </w:r>
      <w:r w:rsidRPr="00C12D1F">
        <w:rPr>
          <w:rFonts w:ascii="Tenorite" w:eastAsia="Times New Roman" w:hAnsi="Tenorite" w:cs="Times New Roman"/>
          <w:sz w:val="20"/>
          <w:szCs w:val="20"/>
          <w:lang w:eastAsia="fr-FR"/>
        </w:rPr>
        <w:instrText>HYPERLINK "https://info.agriculture.gouv.fr/boagri/instruction-2024-598"</w:instrText>
      </w:r>
      <w:r w:rsidRPr="00C12D1F">
        <w:rPr>
          <w:rFonts w:ascii="Tenorite" w:eastAsia="Times New Roman" w:hAnsi="Tenorite" w:cs="Times New Roman"/>
          <w:sz w:val="20"/>
          <w:szCs w:val="20"/>
          <w:lang w:eastAsia="fr-FR"/>
        </w:rPr>
      </w:r>
      <w:r w:rsidRPr="00C12D1F">
        <w:rPr>
          <w:rFonts w:ascii="Tenorite" w:eastAsia="Times New Roman" w:hAnsi="Tenorite" w:cs="Times New Roman"/>
          <w:sz w:val="20"/>
          <w:szCs w:val="20"/>
          <w:lang w:eastAsia="fr-FR"/>
        </w:rPr>
        <w:fldChar w:fldCharType="separate"/>
      </w:r>
      <w:r w:rsidRPr="00C12D1F">
        <w:rPr>
          <w:rStyle w:val="Lienhypertexte"/>
          <w:rFonts w:ascii="Tenorite" w:eastAsia="Times New Roman" w:hAnsi="Tenorite" w:cs="Times New Roman"/>
          <w:color w:val="auto"/>
          <w:sz w:val="20"/>
          <w:szCs w:val="20"/>
          <w:lang w:eastAsia="fr-FR"/>
        </w:rPr>
        <w:t>DGAL/SDSPV/2024-598</w:t>
      </w:r>
      <w:r w:rsidRPr="00C12D1F">
        <w:rPr>
          <w:rFonts w:ascii="Tenorite" w:eastAsia="Times New Roman" w:hAnsi="Tenorite" w:cs="Times New Roman"/>
          <w:sz w:val="20"/>
          <w:szCs w:val="20"/>
          <w:lang w:eastAsia="fr-FR"/>
        </w:rPr>
        <w:fldChar w:fldCharType="end"/>
      </w:r>
      <w:bookmarkEnd w:id="0"/>
      <w:r w:rsidRPr="00C12D1F">
        <w:rPr>
          <w:rFonts w:ascii="Tenorite" w:eastAsia="Times New Roman" w:hAnsi="Tenorite" w:cs="Times New Roman"/>
          <w:sz w:val="20"/>
          <w:szCs w:val="20"/>
          <w:lang w:eastAsia="fr-FR"/>
        </w:rPr>
        <w:t> du 29-10-2024 - Méthode officielle d'analyse ANSES/LSV/MA050 relative à la détection d’</w:t>
      </w:r>
      <w:proofErr w:type="spellStart"/>
      <w:r w:rsidRPr="00C12D1F">
        <w:rPr>
          <w:rFonts w:ascii="Tenorite" w:eastAsia="Times New Roman" w:hAnsi="Tenorite" w:cs="Times New Roman"/>
          <w:sz w:val="20"/>
          <w:szCs w:val="20"/>
          <w:lang w:eastAsia="fr-FR"/>
        </w:rPr>
        <w:t>Erwinia</w:t>
      </w:r>
      <w:proofErr w:type="spellEnd"/>
      <w:r w:rsidRPr="00C12D1F">
        <w:rPr>
          <w:rFonts w:ascii="Tenorite" w:eastAsia="Times New Roman" w:hAnsi="Tenorite" w:cs="Times New Roman"/>
          <w:sz w:val="20"/>
          <w:szCs w:val="20"/>
          <w:lang w:eastAsia="fr-FR"/>
        </w:rPr>
        <w:t xml:space="preserve"> </w:t>
      </w:r>
      <w:proofErr w:type="spellStart"/>
      <w:r w:rsidRPr="00C12D1F">
        <w:rPr>
          <w:rFonts w:ascii="Tenorite" w:eastAsia="Times New Roman" w:hAnsi="Tenorite" w:cs="Times New Roman"/>
          <w:sz w:val="20"/>
          <w:szCs w:val="20"/>
          <w:lang w:eastAsia="fr-FR"/>
        </w:rPr>
        <w:t>amylovora</w:t>
      </w:r>
      <w:proofErr w:type="spellEnd"/>
      <w:r w:rsidRPr="00C12D1F">
        <w:rPr>
          <w:rFonts w:ascii="Tenorite" w:eastAsia="Times New Roman" w:hAnsi="Tenorite" w:cs="Times New Roman"/>
          <w:sz w:val="20"/>
          <w:szCs w:val="20"/>
          <w:lang w:eastAsia="fr-FR"/>
        </w:rPr>
        <w:t xml:space="preserve"> sur plantes hôtes symptomatiques par isolement et identification de la souche. (DGAL)</w:t>
      </w:r>
    </w:p>
    <w:p w14:paraId="11B8CEC6" w14:textId="77777777" w:rsidR="00C12D1F" w:rsidRPr="00C12D1F" w:rsidRDefault="00C12D1F" w:rsidP="00C12D1F">
      <w:pPr>
        <w:shd w:val="clear" w:color="auto" w:fill="FFFFFF"/>
        <w:spacing w:after="0" w:line="240" w:lineRule="auto"/>
        <w:ind w:left="142"/>
        <w:jc w:val="both"/>
        <w:rPr>
          <w:rFonts w:ascii="Tenorite" w:eastAsia="Times New Roman" w:hAnsi="Tenorite" w:cs="Times New Roman"/>
          <w:sz w:val="20"/>
          <w:szCs w:val="20"/>
          <w:lang w:eastAsia="fr-FR"/>
        </w:rPr>
      </w:pPr>
    </w:p>
    <w:p w14:paraId="20C04EE6" w14:textId="77777777" w:rsidR="00AB0FA2" w:rsidRDefault="00AB0FA2" w:rsidP="00C12D1F">
      <w:pPr>
        <w:shd w:val="clear" w:color="auto" w:fill="FFFFFF"/>
        <w:spacing w:after="0" w:line="240" w:lineRule="auto"/>
        <w:ind w:left="142"/>
        <w:jc w:val="both"/>
        <w:rPr>
          <w:rFonts w:ascii="Tenorite" w:eastAsia="Times New Roman" w:hAnsi="Tenorite" w:cs="Times New Roman"/>
          <w:sz w:val="20"/>
          <w:szCs w:val="20"/>
          <w:lang w:eastAsia="fr-FR"/>
        </w:rPr>
      </w:pPr>
      <w:hyperlink r:id="rId43" w:history="1">
        <w:r w:rsidRPr="00C12D1F">
          <w:rPr>
            <w:rStyle w:val="Lienhypertexte"/>
            <w:rFonts w:ascii="Tenorite" w:eastAsia="Times New Roman" w:hAnsi="Tenorite" w:cs="Times New Roman"/>
            <w:color w:val="auto"/>
            <w:sz w:val="20"/>
            <w:szCs w:val="20"/>
            <w:lang w:eastAsia="fr-FR"/>
          </w:rPr>
          <w:t>Règlement</w:t>
        </w:r>
      </w:hyperlink>
      <w:r w:rsidRPr="00C12D1F">
        <w:rPr>
          <w:rFonts w:ascii="Tenorite" w:eastAsia="Times New Roman" w:hAnsi="Tenorite" w:cs="Times New Roman"/>
          <w:sz w:val="20"/>
          <w:szCs w:val="20"/>
          <w:lang w:eastAsia="fr-FR"/>
        </w:rPr>
        <w:t xml:space="preserve"> d’exécution (UE) 2024/2632 de la Commission du 8 octobre 2024 modifiant le règlement d’exécution (UE) 2022/1193 en ce qui concerne les mesures relatives aux eaux susceptibles d’être infectées par </w:t>
      </w:r>
      <w:proofErr w:type="spellStart"/>
      <w:r w:rsidRPr="00C12D1F">
        <w:rPr>
          <w:rFonts w:ascii="Tenorite" w:eastAsia="Times New Roman" w:hAnsi="Tenorite" w:cs="Times New Roman"/>
          <w:sz w:val="20"/>
          <w:szCs w:val="20"/>
          <w:lang w:eastAsia="fr-FR"/>
        </w:rPr>
        <w:t>Ralstonia</w:t>
      </w:r>
      <w:proofErr w:type="spellEnd"/>
      <w:r w:rsidRPr="00C12D1F">
        <w:rPr>
          <w:rFonts w:ascii="Tenorite" w:eastAsia="Times New Roman" w:hAnsi="Tenorite" w:cs="Times New Roman"/>
          <w:sz w:val="20"/>
          <w:szCs w:val="20"/>
          <w:lang w:eastAsia="fr-FR"/>
        </w:rPr>
        <w:t xml:space="preserve"> </w:t>
      </w:r>
      <w:proofErr w:type="spellStart"/>
      <w:r w:rsidRPr="00C12D1F">
        <w:rPr>
          <w:rFonts w:ascii="Tenorite" w:eastAsia="Times New Roman" w:hAnsi="Tenorite" w:cs="Times New Roman"/>
          <w:sz w:val="20"/>
          <w:szCs w:val="20"/>
          <w:lang w:eastAsia="fr-FR"/>
        </w:rPr>
        <w:t>solanacearum</w:t>
      </w:r>
      <w:proofErr w:type="spellEnd"/>
      <w:r w:rsidRPr="00C12D1F">
        <w:rPr>
          <w:rFonts w:ascii="Tenorite" w:eastAsia="Times New Roman" w:hAnsi="Tenorite" w:cs="Times New Roman"/>
          <w:sz w:val="20"/>
          <w:szCs w:val="20"/>
          <w:lang w:eastAsia="fr-FR"/>
        </w:rPr>
        <w:t xml:space="preserve"> (Smith 1896) </w:t>
      </w:r>
      <w:proofErr w:type="spellStart"/>
      <w:r w:rsidRPr="00C12D1F">
        <w:rPr>
          <w:rFonts w:ascii="Tenorite" w:eastAsia="Times New Roman" w:hAnsi="Tenorite" w:cs="Times New Roman"/>
          <w:sz w:val="20"/>
          <w:szCs w:val="20"/>
          <w:lang w:eastAsia="fr-FR"/>
        </w:rPr>
        <w:t>Yabuuchi</w:t>
      </w:r>
      <w:proofErr w:type="spellEnd"/>
      <w:r w:rsidRPr="00C12D1F">
        <w:rPr>
          <w:rFonts w:ascii="Tenorite" w:eastAsia="Times New Roman" w:hAnsi="Tenorite" w:cs="Times New Roman"/>
          <w:sz w:val="20"/>
          <w:szCs w:val="20"/>
          <w:lang w:eastAsia="fr-FR"/>
        </w:rPr>
        <w:t xml:space="preserve"> et al. 1996 </w:t>
      </w:r>
      <w:proofErr w:type="spellStart"/>
      <w:r w:rsidRPr="00C12D1F">
        <w:rPr>
          <w:rFonts w:ascii="Tenorite" w:eastAsia="Times New Roman" w:hAnsi="Tenorite" w:cs="Times New Roman"/>
          <w:sz w:val="20"/>
          <w:szCs w:val="20"/>
          <w:lang w:eastAsia="fr-FR"/>
        </w:rPr>
        <w:t>emend</w:t>
      </w:r>
      <w:proofErr w:type="spellEnd"/>
      <w:r w:rsidRPr="00C12D1F">
        <w:rPr>
          <w:rFonts w:ascii="Tenorite" w:eastAsia="Times New Roman" w:hAnsi="Tenorite" w:cs="Times New Roman"/>
          <w:sz w:val="20"/>
          <w:szCs w:val="20"/>
          <w:lang w:eastAsia="fr-FR"/>
        </w:rPr>
        <w:t xml:space="preserve">. </w:t>
      </w:r>
      <w:proofErr w:type="spellStart"/>
      <w:r w:rsidRPr="00C12D1F">
        <w:rPr>
          <w:rFonts w:ascii="Tenorite" w:eastAsia="Times New Roman" w:hAnsi="Tenorite" w:cs="Times New Roman"/>
          <w:sz w:val="20"/>
          <w:szCs w:val="20"/>
          <w:lang w:eastAsia="fr-FR"/>
        </w:rPr>
        <w:t>Safni</w:t>
      </w:r>
      <w:proofErr w:type="spellEnd"/>
      <w:r w:rsidRPr="00C12D1F">
        <w:rPr>
          <w:rFonts w:ascii="Tenorite" w:eastAsia="Times New Roman" w:hAnsi="Tenorite" w:cs="Times New Roman"/>
          <w:sz w:val="20"/>
          <w:szCs w:val="20"/>
          <w:lang w:eastAsia="fr-FR"/>
        </w:rPr>
        <w:t xml:space="preserve"> et al. 2014, les mesures à prendre par les opérateurs professionnels et le modèle pour la communication des résultats des enquêtes (JOUE 09/10/2024)</w:t>
      </w:r>
    </w:p>
    <w:p w14:paraId="7CC7C539" w14:textId="77777777" w:rsidR="00C12D1F" w:rsidRPr="00C12D1F" w:rsidRDefault="00C12D1F" w:rsidP="00C12D1F">
      <w:pPr>
        <w:shd w:val="clear" w:color="auto" w:fill="FFFFFF"/>
        <w:spacing w:after="0" w:line="240" w:lineRule="auto"/>
        <w:ind w:left="142"/>
        <w:jc w:val="both"/>
        <w:rPr>
          <w:rFonts w:ascii="Tenorite" w:eastAsia="Times New Roman" w:hAnsi="Tenorite" w:cs="Times New Roman"/>
          <w:sz w:val="20"/>
          <w:szCs w:val="20"/>
          <w:lang w:eastAsia="fr-FR"/>
        </w:rPr>
      </w:pPr>
    </w:p>
    <w:p w14:paraId="41C7DBD7" w14:textId="77777777" w:rsidR="00AB0FA2" w:rsidRPr="00C12D1F" w:rsidRDefault="00AB0FA2" w:rsidP="00C12D1F">
      <w:pPr>
        <w:shd w:val="clear" w:color="auto" w:fill="FFFFFF"/>
        <w:spacing w:after="0" w:line="240" w:lineRule="auto"/>
        <w:ind w:left="142"/>
        <w:jc w:val="both"/>
        <w:rPr>
          <w:rStyle w:val="Lienhypertexte"/>
          <w:rFonts w:ascii="Tenorite" w:eastAsia="Times New Roman" w:hAnsi="Tenorite" w:cs="Times New Roman"/>
          <w:color w:val="auto"/>
          <w:sz w:val="20"/>
          <w:szCs w:val="20"/>
          <w:lang w:eastAsia="fr-FR"/>
        </w:rPr>
      </w:pPr>
      <w:hyperlink r:id="rId44" w:history="1">
        <w:r w:rsidRPr="00C12D1F">
          <w:rPr>
            <w:rStyle w:val="Lienhypertexte"/>
            <w:rFonts w:ascii="Tenorite" w:eastAsia="Times New Roman" w:hAnsi="Tenorite" w:cs="Times New Roman"/>
            <w:color w:val="auto"/>
            <w:sz w:val="20"/>
            <w:szCs w:val="20"/>
            <w:lang w:eastAsia="fr-FR"/>
          </w:rPr>
          <w:t>Règlement</w:t>
        </w:r>
      </w:hyperlink>
      <w:r w:rsidRPr="00C12D1F">
        <w:rPr>
          <w:rFonts w:ascii="Tenorite" w:eastAsia="Times New Roman" w:hAnsi="Tenorite" w:cs="Times New Roman"/>
          <w:sz w:val="20"/>
          <w:szCs w:val="20"/>
          <w:lang w:eastAsia="fr-FR"/>
        </w:rPr>
        <w:t xml:space="preserve"> d’exécution (UE) 2024/2636 de la Commission du 8 octobre 2024 modifiant le règlement d’exécution (UE) 2022/1194 en ce qui concerne les responsabilités des opérateurs professionnels et le modèle servant à communiquer les résultats des enquêtes concernant </w:t>
      </w:r>
      <w:proofErr w:type="spellStart"/>
      <w:r w:rsidRPr="00C12D1F">
        <w:rPr>
          <w:rFonts w:ascii="Tenorite" w:eastAsia="Times New Roman" w:hAnsi="Tenorite" w:cs="Times New Roman"/>
          <w:sz w:val="20"/>
          <w:szCs w:val="20"/>
          <w:lang w:eastAsia="fr-FR"/>
        </w:rPr>
        <w:t>Clavibacter</w:t>
      </w:r>
      <w:proofErr w:type="spellEnd"/>
      <w:r w:rsidRPr="00C12D1F">
        <w:rPr>
          <w:rFonts w:ascii="Tenorite" w:eastAsia="Times New Roman" w:hAnsi="Tenorite" w:cs="Times New Roman"/>
          <w:sz w:val="20"/>
          <w:szCs w:val="20"/>
          <w:lang w:eastAsia="fr-FR"/>
        </w:rPr>
        <w:t xml:space="preserve"> </w:t>
      </w:r>
      <w:proofErr w:type="spellStart"/>
      <w:r w:rsidRPr="00C12D1F">
        <w:rPr>
          <w:rFonts w:ascii="Tenorite" w:eastAsia="Times New Roman" w:hAnsi="Tenorite" w:cs="Times New Roman"/>
          <w:sz w:val="20"/>
          <w:szCs w:val="20"/>
          <w:lang w:eastAsia="fr-FR"/>
        </w:rPr>
        <w:t>sepedonicus</w:t>
      </w:r>
      <w:proofErr w:type="spellEnd"/>
      <w:r w:rsidRPr="00C12D1F">
        <w:rPr>
          <w:rFonts w:ascii="Tenorite" w:eastAsia="Times New Roman" w:hAnsi="Tenorite" w:cs="Times New Roman"/>
          <w:sz w:val="20"/>
          <w:szCs w:val="20"/>
          <w:lang w:eastAsia="fr-FR"/>
        </w:rPr>
        <w:t xml:space="preserve"> (</w:t>
      </w:r>
      <w:proofErr w:type="spellStart"/>
      <w:r w:rsidRPr="00C12D1F">
        <w:rPr>
          <w:rFonts w:ascii="Tenorite" w:eastAsia="Times New Roman" w:hAnsi="Tenorite" w:cs="Times New Roman"/>
          <w:sz w:val="20"/>
          <w:szCs w:val="20"/>
          <w:lang w:eastAsia="fr-FR"/>
        </w:rPr>
        <w:t>Spieckermann</w:t>
      </w:r>
      <w:proofErr w:type="spellEnd"/>
      <w:r w:rsidRPr="00C12D1F">
        <w:rPr>
          <w:rFonts w:ascii="Tenorite" w:eastAsia="Times New Roman" w:hAnsi="Tenorite" w:cs="Times New Roman"/>
          <w:sz w:val="20"/>
          <w:szCs w:val="20"/>
          <w:lang w:eastAsia="fr-FR"/>
        </w:rPr>
        <w:t xml:space="preserve"> &amp; </w:t>
      </w:r>
      <w:proofErr w:type="spellStart"/>
      <w:r w:rsidRPr="00C12D1F">
        <w:rPr>
          <w:rFonts w:ascii="Tenorite" w:eastAsia="Times New Roman" w:hAnsi="Tenorite" w:cs="Times New Roman"/>
          <w:sz w:val="20"/>
          <w:szCs w:val="20"/>
          <w:lang w:eastAsia="fr-FR"/>
        </w:rPr>
        <w:t>Kotthoff</w:t>
      </w:r>
      <w:proofErr w:type="spellEnd"/>
      <w:r w:rsidRPr="00C12D1F">
        <w:rPr>
          <w:rFonts w:ascii="Tenorite" w:eastAsia="Times New Roman" w:hAnsi="Tenorite" w:cs="Times New Roman"/>
          <w:sz w:val="20"/>
          <w:szCs w:val="20"/>
          <w:lang w:eastAsia="fr-FR"/>
        </w:rPr>
        <w:t xml:space="preserve"> 1914) </w:t>
      </w:r>
      <w:proofErr w:type="spellStart"/>
      <w:r w:rsidRPr="00C12D1F">
        <w:rPr>
          <w:rFonts w:ascii="Tenorite" w:eastAsia="Times New Roman" w:hAnsi="Tenorite" w:cs="Times New Roman"/>
          <w:sz w:val="20"/>
          <w:szCs w:val="20"/>
          <w:lang w:eastAsia="fr-FR"/>
        </w:rPr>
        <w:t>Nouioui</w:t>
      </w:r>
      <w:proofErr w:type="spellEnd"/>
      <w:r w:rsidRPr="00C12D1F">
        <w:rPr>
          <w:rFonts w:ascii="Tenorite" w:eastAsia="Times New Roman" w:hAnsi="Tenorite" w:cs="Times New Roman"/>
          <w:sz w:val="20"/>
          <w:szCs w:val="20"/>
          <w:lang w:eastAsia="fr-FR"/>
        </w:rPr>
        <w:t xml:space="preserve"> et al. 2018 (JOUE 09/10/2024)</w:t>
      </w:r>
    </w:p>
    <w:p w14:paraId="7EC4582A" w14:textId="77777777" w:rsidR="00AB0FA2" w:rsidRPr="005F3EA3" w:rsidRDefault="00AB0FA2" w:rsidP="00C12D1F">
      <w:pPr>
        <w:spacing w:after="0" w:line="240" w:lineRule="auto"/>
        <w:ind w:left="426" w:hanging="283"/>
        <w:jc w:val="both"/>
        <w:rPr>
          <w:rFonts w:ascii="Tenorite" w:hAnsi="Tenorite"/>
          <w:color w:val="C45911" w:themeColor="accent2" w:themeShade="BF"/>
          <w:sz w:val="20"/>
        </w:rPr>
      </w:pPr>
    </w:p>
    <w:p w14:paraId="7CCFE82A" w14:textId="77777777" w:rsidR="00D025D4" w:rsidRPr="005F3EA3" w:rsidRDefault="00D025D4" w:rsidP="00C12D1F">
      <w:pPr>
        <w:shd w:val="clear" w:color="auto" w:fill="D9D9D9" w:themeFill="background1" w:themeFillShade="D9"/>
        <w:spacing w:after="0" w:line="240" w:lineRule="auto"/>
        <w:ind w:left="426" w:hanging="283"/>
        <w:jc w:val="both"/>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001DFD6E" w14:textId="77777777" w:rsidR="000949A1" w:rsidRPr="00C12D1F" w:rsidRDefault="000949A1" w:rsidP="00C12D1F">
      <w:pPr>
        <w:pStyle w:val="Titre3"/>
        <w:shd w:val="clear" w:color="auto" w:fill="FFFFFF"/>
        <w:spacing w:before="0" w:beforeAutospacing="0" w:after="0" w:afterAutospacing="0"/>
        <w:ind w:left="142"/>
        <w:jc w:val="both"/>
        <w:rPr>
          <w:rStyle w:val="Lienhypertexte"/>
          <w:rFonts w:ascii="Tenorite" w:eastAsiaTheme="minorHAnsi" w:hAnsi="Tenorite" w:cstheme="minorBidi"/>
          <w:b w:val="0"/>
          <w:bCs w:val="0"/>
          <w:i/>
          <w:sz w:val="20"/>
          <w:szCs w:val="20"/>
        </w:rPr>
      </w:pPr>
      <w:hyperlink r:id="rId45" w:history="1">
        <w:r w:rsidRPr="00C12D1F">
          <w:rPr>
            <w:rStyle w:val="Lienhypertexte"/>
            <w:rFonts w:ascii="Tenorite" w:eastAsiaTheme="minorHAnsi" w:hAnsi="Tenorite" w:cstheme="minorBidi"/>
            <w:b w:val="0"/>
            <w:bCs w:val="0"/>
            <w:sz w:val="20"/>
            <w:szCs w:val="20"/>
          </w:rPr>
          <w:t>Avis</w:t>
        </w:r>
      </w:hyperlink>
      <w:r w:rsidRPr="00C12D1F">
        <w:rPr>
          <w:rFonts w:ascii="Tenorite" w:eastAsiaTheme="minorHAnsi" w:hAnsi="Tenorite" w:cstheme="minorBidi"/>
          <w:b w:val="0"/>
          <w:bCs w:val="0"/>
          <w:sz w:val="20"/>
          <w:szCs w:val="20"/>
        </w:rPr>
        <w:t xml:space="preserve"> relatif à l’évaluation du risque de transmission du complexe Mycobacterium </w:t>
      </w:r>
      <w:proofErr w:type="spellStart"/>
      <w:r w:rsidRPr="00C12D1F">
        <w:rPr>
          <w:rFonts w:ascii="Tenorite" w:eastAsiaTheme="minorHAnsi" w:hAnsi="Tenorite" w:cstheme="minorBidi"/>
          <w:b w:val="0"/>
          <w:bCs w:val="0"/>
          <w:sz w:val="20"/>
          <w:szCs w:val="20"/>
        </w:rPr>
        <w:t>tuberculosis</w:t>
      </w:r>
      <w:proofErr w:type="spellEnd"/>
      <w:r w:rsidRPr="00C12D1F">
        <w:rPr>
          <w:rFonts w:ascii="Tenorite" w:eastAsiaTheme="minorHAnsi" w:hAnsi="Tenorite" w:cstheme="minorBidi"/>
          <w:b w:val="0"/>
          <w:bCs w:val="0"/>
          <w:sz w:val="20"/>
          <w:szCs w:val="20"/>
        </w:rPr>
        <w:t xml:space="preserve"> à l'humain via la consommation de produits laitiers crus issus d’un élevage caprin infecté – avis signé le 12/09/2024</w:t>
      </w:r>
    </w:p>
    <w:p w14:paraId="70B73EF0" w14:textId="77777777" w:rsidR="00A31270" w:rsidRDefault="00A31270" w:rsidP="00C12D1F">
      <w:pPr>
        <w:spacing w:after="0" w:line="240" w:lineRule="auto"/>
        <w:ind w:left="426" w:hanging="283"/>
        <w:jc w:val="both"/>
        <w:rPr>
          <w:rFonts w:ascii="Tenorite" w:hAnsi="Tenorite"/>
          <w:color w:val="C45911" w:themeColor="accent2" w:themeShade="BF"/>
          <w:sz w:val="20"/>
          <w:szCs w:val="18"/>
        </w:rPr>
      </w:pPr>
    </w:p>
    <w:p w14:paraId="642F62F5" w14:textId="72BA50B6" w:rsidR="00D025D4" w:rsidRDefault="00D025D4" w:rsidP="00C12D1F">
      <w:pPr>
        <w:spacing w:after="0" w:line="240" w:lineRule="auto"/>
        <w:ind w:left="426" w:hanging="283"/>
        <w:jc w:val="both"/>
        <w:rPr>
          <w:rFonts w:ascii="Tenorite" w:hAnsi="Tenorite"/>
          <w:color w:val="C45911" w:themeColor="accent2" w:themeShade="BF"/>
          <w:sz w:val="20"/>
          <w:szCs w:val="18"/>
        </w:rPr>
      </w:pPr>
      <w:r w:rsidRPr="005F3EA3">
        <w:rPr>
          <w:rFonts w:ascii="Tenorite" w:hAnsi="Tenorite"/>
          <w:color w:val="C45911" w:themeColor="accent2" w:themeShade="BF"/>
          <w:sz w:val="20"/>
          <w:szCs w:val="18"/>
        </w:rPr>
        <w:t>Fromages</w:t>
      </w:r>
    </w:p>
    <w:p w14:paraId="6DD5E1C3" w14:textId="77777777" w:rsidR="000949A1" w:rsidRPr="00C12D1F" w:rsidRDefault="000949A1" w:rsidP="00C12D1F">
      <w:pPr>
        <w:shd w:val="clear" w:color="auto" w:fill="FFFFFF"/>
        <w:spacing w:after="0" w:line="240" w:lineRule="auto"/>
        <w:ind w:left="142"/>
        <w:jc w:val="both"/>
        <w:rPr>
          <w:rFonts w:ascii="Tenorite" w:hAnsi="Tenorite"/>
          <w:sz w:val="20"/>
          <w:szCs w:val="20"/>
        </w:rPr>
      </w:pPr>
      <w:hyperlink r:id="rId46" w:history="1">
        <w:r w:rsidRPr="00C12D1F">
          <w:rPr>
            <w:rStyle w:val="Lienhypertexte"/>
            <w:rFonts w:ascii="Tenorite" w:hAnsi="Tenorite"/>
            <w:sz w:val="20"/>
            <w:szCs w:val="20"/>
          </w:rPr>
          <w:t>Règlement</w:t>
        </w:r>
      </w:hyperlink>
      <w:r w:rsidRPr="00C12D1F">
        <w:rPr>
          <w:rFonts w:ascii="Tenorite" w:hAnsi="Tenorite"/>
          <w:sz w:val="20"/>
          <w:szCs w:val="20"/>
        </w:rPr>
        <w:t xml:space="preserve"> (UE) 2024/2608 de la Commission du 7 octobre 2024 modifiant l’annexe II du règlement (CE) no 1333/2008 du Parlement européen et du Conseil en ce qui concerne l’utilisation de la cellulose en poudre [E 460 (ii)] et du </w:t>
      </w:r>
      <w:proofErr w:type="spellStart"/>
      <w:r w:rsidRPr="00C12D1F">
        <w:rPr>
          <w:rFonts w:ascii="Tenorite" w:hAnsi="Tenorite"/>
          <w:sz w:val="20"/>
          <w:szCs w:val="20"/>
        </w:rPr>
        <w:t>glucono</w:t>
      </w:r>
      <w:proofErr w:type="spellEnd"/>
      <w:r w:rsidRPr="00C12D1F">
        <w:rPr>
          <w:rFonts w:ascii="Tenorite" w:hAnsi="Tenorite"/>
          <w:sz w:val="20"/>
          <w:szCs w:val="20"/>
        </w:rPr>
        <w:t>-delta-lactone (E 575) dans les produits fromagers à pâte molle non affinés à tartiner (JOUE 08/10/2024)</w:t>
      </w:r>
    </w:p>
    <w:p w14:paraId="7CAC0201" w14:textId="77777777" w:rsidR="000949A1" w:rsidRPr="005F3EA3" w:rsidRDefault="000949A1" w:rsidP="00C12D1F">
      <w:pPr>
        <w:spacing w:after="0" w:line="240" w:lineRule="auto"/>
        <w:ind w:left="426" w:hanging="283"/>
        <w:jc w:val="both"/>
        <w:rPr>
          <w:rFonts w:ascii="Tenorite" w:hAnsi="Tenorite"/>
          <w:color w:val="C45911" w:themeColor="accent2" w:themeShade="BF"/>
          <w:sz w:val="20"/>
          <w:szCs w:val="18"/>
        </w:rPr>
      </w:pPr>
    </w:p>
    <w:p w14:paraId="14F5C586" w14:textId="77777777" w:rsidR="00D025D4" w:rsidRPr="005F3EA3" w:rsidRDefault="00D025D4" w:rsidP="00C12D1F">
      <w:pPr>
        <w:shd w:val="clear" w:color="auto" w:fill="D9D9D9" w:themeFill="background1" w:themeFillShade="D9"/>
        <w:spacing w:after="0" w:line="240" w:lineRule="auto"/>
        <w:ind w:left="426" w:hanging="283"/>
        <w:jc w:val="both"/>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4A5CAC47" w14:textId="77777777" w:rsidR="00041F4A" w:rsidRPr="00AA63A0" w:rsidRDefault="00041F4A" w:rsidP="00AA63A0">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47" w:history="1">
        <w:r w:rsidRPr="00AA63A0">
          <w:rPr>
            <w:rStyle w:val="Lienhypertexte"/>
            <w:rFonts w:ascii="Tenorite" w:eastAsia="Times New Roman" w:hAnsi="Tenorite" w:cs="Times New Roman"/>
            <w:sz w:val="20"/>
            <w:szCs w:val="20"/>
            <w:lang w:eastAsia="fr-FR"/>
          </w:rPr>
          <w:t>Règlement</w:t>
        </w:r>
      </w:hyperlink>
      <w:r w:rsidRPr="00AA63A0">
        <w:rPr>
          <w:rFonts w:ascii="Tenorite" w:eastAsia="Times New Roman" w:hAnsi="Tenorite" w:cs="Times New Roman"/>
          <w:color w:val="636363"/>
          <w:sz w:val="20"/>
          <w:szCs w:val="20"/>
          <w:lang w:eastAsia="fr-FR"/>
        </w:rPr>
        <w:t xml:space="preserve"> d’exécution (UE) 2024/2775 de la Commission du 23 octobre 2024 modifiant le règlement (CE) no 1484/95 en ce qui concerne la fixation des prix représentatifs dans les secteurs de la viande de volaille et des œufs ainsi que pour l’ovalbumine (JOUE 25/10/2024)</w:t>
      </w:r>
    </w:p>
    <w:p w14:paraId="4BE1AF51" w14:textId="77777777" w:rsidR="00A31270" w:rsidRDefault="00A31270" w:rsidP="00C12D1F">
      <w:pPr>
        <w:spacing w:after="0" w:line="240" w:lineRule="auto"/>
        <w:ind w:left="426" w:hanging="283"/>
        <w:jc w:val="both"/>
        <w:rPr>
          <w:rFonts w:ascii="Tenorite" w:hAnsi="Tenorite"/>
          <w:color w:val="C45911" w:themeColor="accent2" w:themeShade="BF"/>
          <w:sz w:val="20"/>
          <w:szCs w:val="18"/>
        </w:rPr>
      </w:pPr>
    </w:p>
    <w:p w14:paraId="56430F47" w14:textId="77777777" w:rsidR="00D025D4" w:rsidRPr="005F3EA3" w:rsidRDefault="00D025D4" w:rsidP="00C12D1F">
      <w:pPr>
        <w:shd w:val="clear" w:color="auto" w:fill="D9D9D9" w:themeFill="background1" w:themeFillShade="D9"/>
        <w:spacing w:after="0" w:line="240" w:lineRule="auto"/>
        <w:ind w:left="426" w:hanging="283"/>
        <w:jc w:val="both"/>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PRODUITS CEREALIERS</w:t>
      </w:r>
    </w:p>
    <w:p w14:paraId="2582B3AF" w14:textId="77777777" w:rsidR="00A31270" w:rsidRDefault="00A31270" w:rsidP="00C12D1F">
      <w:pPr>
        <w:spacing w:after="0" w:line="240" w:lineRule="auto"/>
        <w:ind w:left="426" w:hanging="283"/>
        <w:jc w:val="both"/>
        <w:rPr>
          <w:rFonts w:ascii="Tenorite" w:hAnsi="Tenorite"/>
          <w:b/>
          <w:bCs/>
          <w:sz w:val="20"/>
          <w:szCs w:val="18"/>
        </w:rPr>
      </w:pPr>
      <w:r w:rsidRPr="00A31270">
        <w:rPr>
          <w:rFonts w:ascii="Tenorite" w:hAnsi="Tenorite"/>
          <w:b/>
          <w:bCs/>
          <w:sz w:val="20"/>
          <w:szCs w:val="18"/>
        </w:rPr>
        <w:t>/</w:t>
      </w:r>
    </w:p>
    <w:p w14:paraId="41A9065A" w14:textId="77777777" w:rsidR="000949A1" w:rsidRPr="00AA63A0" w:rsidRDefault="000949A1" w:rsidP="00AA63A0">
      <w:pPr>
        <w:pStyle w:val="Textebrut"/>
        <w:ind w:left="142"/>
        <w:jc w:val="both"/>
        <w:rPr>
          <w:rFonts w:ascii="Tenorite" w:hAnsi="Tenorite"/>
          <w:sz w:val="20"/>
          <w:szCs w:val="20"/>
        </w:rPr>
      </w:pPr>
    </w:p>
    <w:p w14:paraId="5B9F02A9" w14:textId="77777777" w:rsidR="00D025D4" w:rsidRPr="00AA63A0" w:rsidRDefault="00D025D4" w:rsidP="00C12D1F">
      <w:pPr>
        <w:shd w:val="clear" w:color="auto" w:fill="D9D9D9" w:themeFill="background1" w:themeFillShade="D9"/>
        <w:spacing w:after="0" w:line="240" w:lineRule="auto"/>
        <w:ind w:left="426" w:hanging="283"/>
        <w:jc w:val="both"/>
        <w:rPr>
          <w:rFonts w:ascii="Tenorite" w:hAnsi="Tenorite"/>
          <w:b/>
          <w:color w:val="833C0B" w:themeColor="accent2" w:themeShade="80"/>
        </w:rPr>
      </w:pPr>
      <w:r w:rsidRPr="00AA63A0">
        <w:rPr>
          <w:rFonts w:ascii="Tenorite" w:hAnsi="Tenorite"/>
          <w:b/>
          <w:color w:val="833C0B" w:themeColor="accent2" w:themeShade="80"/>
        </w:rPr>
        <w:t xml:space="preserve">PRODUITS SUCRES </w:t>
      </w:r>
    </w:p>
    <w:p w14:paraId="2BF906C4" w14:textId="77777777" w:rsidR="00D025D4" w:rsidRPr="00AA63A0" w:rsidRDefault="00D025D4" w:rsidP="00C12D1F">
      <w:pPr>
        <w:spacing w:after="0" w:line="240" w:lineRule="auto"/>
        <w:ind w:left="426" w:hanging="283"/>
        <w:jc w:val="both"/>
        <w:rPr>
          <w:rFonts w:ascii="Tenorite" w:hAnsi="Tenorite"/>
          <w:color w:val="C45911" w:themeColor="accent2" w:themeShade="BF"/>
          <w:sz w:val="18"/>
          <w:szCs w:val="16"/>
        </w:rPr>
      </w:pPr>
      <w:r w:rsidRPr="00AA63A0">
        <w:rPr>
          <w:rFonts w:ascii="Tenorite" w:hAnsi="Tenorite"/>
          <w:color w:val="C45911" w:themeColor="accent2" w:themeShade="BF"/>
          <w:sz w:val="18"/>
          <w:szCs w:val="16"/>
        </w:rPr>
        <w:t>Sucres</w:t>
      </w:r>
    </w:p>
    <w:p w14:paraId="3114ACD4" w14:textId="013713F7" w:rsidR="00AB0FA2" w:rsidRPr="00AA63A0" w:rsidRDefault="00AB0FA2" w:rsidP="00AA63A0">
      <w:pPr>
        <w:spacing w:after="0" w:line="240" w:lineRule="auto"/>
        <w:ind w:left="142"/>
        <w:jc w:val="both"/>
        <w:rPr>
          <w:rFonts w:ascii="Tenorite" w:hAnsi="Tenorite"/>
          <w:color w:val="C45911" w:themeColor="accent2" w:themeShade="BF"/>
          <w:sz w:val="18"/>
          <w:szCs w:val="16"/>
        </w:rPr>
      </w:pPr>
      <w:hyperlink r:id="rId48" w:history="1">
        <w:r w:rsidRPr="00AA63A0">
          <w:rPr>
            <w:rStyle w:val="Lienhypertexte"/>
            <w:rFonts w:ascii="Tenorite" w:hAnsi="Tenorite"/>
            <w:sz w:val="20"/>
            <w:szCs w:val="20"/>
          </w:rPr>
          <w:t>Règlement</w:t>
        </w:r>
      </w:hyperlink>
      <w:r w:rsidRPr="00AA63A0">
        <w:rPr>
          <w:rFonts w:ascii="Tenorite" w:hAnsi="Tenorite"/>
          <w:sz w:val="20"/>
          <w:szCs w:val="20"/>
        </w:rPr>
        <w:t xml:space="preserve"> d’exécution (UE) 2024/2611 de la Commission du 30 septembre 2024 fixant les prix représentatifs, les droits à l’importation et les droits additionnels à l’importation des mélasses dans le secteur du sucre applicables à partir du 1er octobre 2024 (JOUE 01/10/2024)</w:t>
      </w:r>
    </w:p>
    <w:p w14:paraId="3E074DC5" w14:textId="77777777" w:rsidR="00A31270" w:rsidRDefault="00A31270" w:rsidP="00C12D1F">
      <w:pPr>
        <w:spacing w:after="0" w:line="240" w:lineRule="auto"/>
        <w:ind w:left="426" w:hanging="283"/>
        <w:jc w:val="both"/>
        <w:rPr>
          <w:rFonts w:ascii="Tenorite" w:hAnsi="Tenorite"/>
          <w:color w:val="C45911" w:themeColor="accent2" w:themeShade="BF"/>
          <w:sz w:val="18"/>
          <w:szCs w:val="16"/>
        </w:rPr>
      </w:pPr>
    </w:p>
    <w:p w14:paraId="12B01DA5" w14:textId="77777777" w:rsidR="00D025D4" w:rsidRPr="00AA63A0" w:rsidRDefault="00D025D4" w:rsidP="00C12D1F">
      <w:pPr>
        <w:shd w:val="clear" w:color="auto" w:fill="D9D9D9" w:themeFill="background1" w:themeFillShade="D9"/>
        <w:spacing w:after="0" w:line="240" w:lineRule="auto"/>
        <w:ind w:left="426" w:hanging="283"/>
        <w:jc w:val="both"/>
        <w:rPr>
          <w:rFonts w:ascii="Tenorite" w:hAnsi="Tenorite"/>
          <w:b/>
          <w:color w:val="833C0B" w:themeColor="accent2" w:themeShade="80"/>
        </w:rPr>
      </w:pPr>
      <w:r w:rsidRPr="00AA63A0">
        <w:rPr>
          <w:rFonts w:ascii="Tenorite" w:hAnsi="Tenorite"/>
          <w:b/>
          <w:color w:val="833C0B" w:themeColor="accent2" w:themeShade="80"/>
        </w:rPr>
        <w:t xml:space="preserve">VIANDES ET PRODUITS À BASE DE VIANDE </w:t>
      </w:r>
    </w:p>
    <w:bookmarkStart w:id="1" w:name="_Hlk181914399"/>
    <w:p w14:paraId="7B162ACD" w14:textId="77777777" w:rsidR="00C57BC3" w:rsidRDefault="00C57BC3" w:rsidP="00AA63A0">
      <w:pPr>
        <w:pStyle w:val="Titre3"/>
        <w:shd w:val="clear" w:color="auto" w:fill="FFFFFF"/>
        <w:spacing w:before="0" w:beforeAutospacing="0" w:after="0" w:afterAutospacing="0"/>
        <w:ind w:left="142"/>
        <w:jc w:val="both"/>
        <w:rPr>
          <w:rFonts w:ascii="Tenorite" w:hAnsi="Tenorite"/>
          <w:b w:val="0"/>
          <w:bCs w:val="0"/>
          <w:sz w:val="20"/>
          <w:szCs w:val="20"/>
        </w:rPr>
      </w:pPr>
      <w:r w:rsidRPr="00AA63A0">
        <w:rPr>
          <w:rFonts w:ascii="Tenorite" w:hAnsi="Tenorite"/>
          <w:b w:val="0"/>
          <w:bCs w:val="0"/>
          <w:i/>
          <w:sz w:val="20"/>
          <w:szCs w:val="20"/>
        </w:rPr>
        <w:fldChar w:fldCharType="begin"/>
      </w:r>
      <w:r w:rsidRPr="00AA63A0">
        <w:rPr>
          <w:rFonts w:ascii="Tenorite" w:hAnsi="Tenorite"/>
          <w:b w:val="0"/>
          <w:bCs w:val="0"/>
          <w:sz w:val="20"/>
          <w:szCs w:val="20"/>
        </w:rPr>
        <w:instrText>HYPERLINK "https://www.anses.fr/fr/system/files/SABA2023SA0146RA.pdf"</w:instrText>
      </w:r>
      <w:r w:rsidRPr="00AA63A0">
        <w:rPr>
          <w:rFonts w:ascii="Tenorite" w:hAnsi="Tenorite"/>
          <w:b w:val="0"/>
          <w:bCs w:val="0"/>
          <w:i/>
          <w:sz w:val="20"/>
          <w:szCs w:val="20"/>
        </w:rPr>
      </w:r>
      <w:r w:rsidRPr="00AA63A0">
        <w:rPr>
          <w:rFonts w:ascii="Tenorite" w:hAnsi="Tenorite"/>
          <w:b w:val="0"/>
          <w:bCs w:val="0"/>
          <w:i/>
          <w:sz w:val="20"/>
          <w:szCs w:val="20"/>
        </w:rPr>
        <w:fldChar w:fldCharType="separate"/>
      </w:r>
      <w:r w:rsidRPr="00AA63A0">
        <w:rPr>
          <w:rStyle w:val="Lienhypertexte"/>
          <w:rFonts w:ascii="Tenorite" w:hAnsi="Tenorite"/>
          <w:b w:val="0"/>
          <w:bCs w:val="0"/>
          <w:color w:val="auto"/>
          <w:sz w:val="20"/>
          <w:szCs w:val="20"/>
        </w:rPr>
        <w:t>Avis</w:t>
      </w:r>
      <w:r w:rsidRPr="00AA63A0">
        <w:rPr>
          <w:rFonts w:ascii="Tenorite" w:hAnsi="Tenorite"/>
          <w:b w:val="0"/>
          <w:bCs w:val="0"/>
          <w:i/>
          <w:sz w:val="20"/>
          <w:szCs w:val="20"/>
        </w:rPr>
        <w:fldChar w:fldCharType="end"/>
      </w:r>
      <w:bookmarkEnd w:id="1"/>
      <w:r w:rsidRPr="00AA63A0">
        <w:rPr>
          <w:rFonts w:ascii="Tenorite" w:hAnsi="Tenorite"/>
          <w:b w:val="0"/>
          <w:bCs w:val="0"/>
          <w:sz w:val="20"/>
          <w:szCs w:val="20"/>
        </w:rPr>
        <w:t xml:space="preserve"> et rapports relatifs à « l’évaluation des modalités de surveillance et de lutte contre l’infection par le complexe Mycobacterium </w:t>
      </w:r>
      <w:proofErr w:type="spellStart"/>
      <w:r w:rsidRPr="00AA63A0">
        <w:rPr>
          <w:rFonts w:ascii="Tenorite" w:hAnsi="Tenorite"/>
          <w:b w:val="0"/>
          <w:bCs w:val="0"/>
          <w:sz w:val="20"/>
          <w:szCs w:val="20"/>
        </w:rPr>
        <w:t>tuberculosis</w:t>
      </w:r>
      <w:proofErr w:type="spellEnd"/>
      <w:r w:rsidRPr="00AA63A0">
        <w:rPr>
          <w:rFonts w:ascii="Tenorite" w:hAnsi="Tenorite"/>
          <w:b w:val="0"/>
          <w:bCs w:val="0"/>
          <w:sz w:val="20"/>
          <w:szCs w:val="20"/>
        </w:rPr>
        <w:t xml:space="preserve"> des cheptels caprins en Corse » - Mesures d’assainissement préconisées en cas d’infection d’un cheptel caprin – avis signé le 12/09/2024</w:t>
      </w:r>
    </w:p>
    <w:p w14:paraId="52C99BAE" w14:textId="77777777" w:rsidR="00AA63A0" w:rsidRPr="00AA63A0" w:rsidRDefault="00AA63A0" w:rsidP="00AA63A0">
      <w:pPr>
        <w:pStyle w:val="Titre3"/>
        <w:shd w:val="clear" w:color="auto" w:fill="FFFFFF"/>
        <w:spacing w:before="0" w:beforeAutospacing="0" w:after="0" w:afterAutospacing="0"/>
        <w:ind w:left="142"/>
        <w:jc w:val="both"/>
        <w:rPr>
          <w:rFonts w:ascii="Tenorite" w:hAnsi="Tenorite"/>
          <w:b w:val="0"/>
          <w:bCs w:val="0"/>
          <w:i/>
          <w:sz w:val="20"/>
          <w:szCs w:val="20"/>
        </w:rPr>
      </w:pPr>
    </w:p>
    <w:p w14:paraId="26584E7F" w14:textId="77777777" w:rsidR="00C57BC3" w:rsidRDefault="00C57BC3" w:rsidP="00AA63A0">
      <w:pPr>
        <w:shd w:val="clear" w:color="auto" w:fill="FFFFFF"/>
        <w:spacing w:after="0" w:line="240" w:lineRule="auto"/>
        <w:ind w:left="142"/>
        <w:jc w:val="both"/>
        <w:rPr>
          <w:rFonts w:ascii="Tenorite" w:eastAsia="Times New Roman" w:hAnsi="Tenorite" w:cs="Times New Roman"/>
          <w:sz w:val="20"/>
          <w:szCs w:val="20"/>
          <w:lang w:eastAsia="fr-FR"/>
        </w:rPr>
      </w:pPr>
      <w:hyperlink r:id="rId49" w:history="1">
        <w:r w:rsidRPr="00AA63A0">
          <w:rPr>
            <w:rStyle w:val="Lienhypertexte"/>
            <w:rFonts w:ascii="Tenorite" w:eastAsia="Times New Roman" w:hAnsi="Tenorite" w:cs="Times New Roman"/>
            <w:b/>
            <w:bCs/>
            <w:color w:val="auto"/>
            <w:sz w:val="20"/>
            <w:szCs w:val="20"/>
            <w:lang w:eastAsia="fr-FR"/>
          </w:rPr>
          <w:t>Décision</w:t>
        </w:r>
      </w:hyperlink>
      <w:r w:rsidRPr="00AA63A0">
        <w:rPr>
          <w:rFonts w:ascii="Tenorite" w:eastAsia="Times New Roman" w:hAnsi="Tenorite" w:cs="Times New Roman"/>
          <w:sz w:val="20"/>
          <w:szCs w:val="20"/>
          <w:lang w:eastAsia="fr-FR"/>
        </w:rPr>
        <w:t> du 10-10-2024 - Décision du 10 octobre 2024 définissant la nouvelle zone vaccinale contre la fièvre catarrhale ovine (FCO) sur le territoire métropolitaine (DGAL)</w:t>
      </w:r>
    </w:p>
    <w:p w14:paraId="64E7C1E8" w14:textId="77777777" w:rsidR="00AA63A0" w:rsidRPr="00AA63A0" w:rsidRDefault="00AA63A0" w:rsidP="00AA63A0">
      <w:pPr>
        <w:shd w:val="clear" w:color="auto" w:fill="FFFFFF"/>
        <w:spacing w:after="0" w:line="240" w:lineRule="auto"/>
        <w:ind w:left="142"/>
        <w:jc w:val="both"/>
        <w:rPr>
          <w:rFonts w:ascii="Tenorite" w:eastAsia="Times New Roman" w:hAnsi="Tenorite" w:cs="Times New Roman"/>
          <w:sz w:val="20"/>
          <w:szCs w:val="20"/>
          <w:lang w:eastAsia="fr-FR"/>
        </w:rPr>
      </w:pPr>
    </w:p>
    <w:p w14:paraId="55FA5D5E" w14:textId="77777777" w:rsidR="00C57BC3" w:rsidRDefault="00C57BC3" w:rsidP="00AA63A0">
      <w:pPr>
        <w:shd w:val="clear" w:color="auto" w:fill="FFFFFF"/>
        <w:spacing w:after="0" w:line="240" w:lineRule="auto"/>
        <w:ind w:left="142"/>
        <w:jc w:val="both"/>
        <w:rPr>
          <w:rFonts w:ascii="Tenorite" w:eastAsia="Times New Roman" w:hAnsi="Tenorite" w:cs="Times New Roman"/>
          <w:sz w:val="20"/>
          <w:szCs w:val="20"/>
          <w:lang w:eastAsia="fr-FR"/>
        </w:rPr>
      </w:pPr>
      <w:hyperlink r:id="rId50" w:history="1">
        <w:r w:rsidRPr="00AA63A0">
          <w:rPr>
            <w:rStyle w:val="Lienhypertexte"/>
            <w:rFonts w:ascii="Tenorite" w:eastAsia="Times New Roman" w:hAnsi="Tenorite" w:cs="Times New Roman"/>
            <w:color w:val="auto"/>
            <w:sz w:val="20"/>
            <w:szCs w:val="20"/>
            <w:lang w:eastAsia="fr-FR"/>
          </w:rPr>
          <w:t>Décision</w:t>
        </w:r>
      </w:hyperlink>
      <w:r w:rsidRPr="00AA63A0">
        <w:rPr>
          <w:rFonts w:ascii="Tenorite" w:eastAsia="Times New Roman" w:hAnsi="Tenorite" w:cs="Times New Roman"/>
          <w:sz w:val="20"/>
          <w:szCs w:val="20"/>
          <w:lang w:eastAsia="fr-FR"/>
        </w:rPr>
        <w:t xml:space="preserve"> d’exécution (UE) 2024/2660 de la Commission du 7 octobre 2024 modifiant la décision d’exécution (UE) 2024/2207 concernant certaines mesures d’urgence relatives à la clavelée et à la variole caprine en Grèce (JOUE 10/10/2024)</w:t>
      </w:r>
    </w:p>
    <w:p w14:paraId="609E566A" w14:textId="77777777" w:rsidR="00AA63A0" w:rsidRPr="00AA63A0" w:rsidRDefault="00AA63A0" w:rsidP="00AA63A0">
      <w:pPr>
        <w:shd w:val="clear" w:color="auto" w:fill="FFFFFF"/>
        <w:spacing w:after="0" w:line="240" w:lineRule="auto"/>
        <w:ind w:left="142"/>
        <w:jc w:val="both"/>
        <w:rPr>
          <w:rFonts w:ascii="Tenorite" w:eastAsia="Times New Roman" w:hAnsi="Tenorite" w:cs="Times New Roman"/>
          <w:sz w:val="20"/>
          <w:szCs w:val="20"/>
          <w:lang w:eastAsia="fr-FR"/>
        </w:rPr>
      </w:pPr>
    </w:p>
    <w:p w14:paraId="00DCC7C1" w14:textId="77777777" w:rsidR="00C57BC3" w:rsidRDefault="00C57BC3" w:rsidP="00AA63A0">
      <w:pPr>
        <w:shd w:val="clear" w:color="auto" w:fill="FFFFFF"/>
        <w:spacing w:after="0" w:line="240" w:lineRule="auto"/>
        <w:ind w:left="142"/>
        <w:jc w:val="both"/>
        <w:rPr>
          <w:rFonts w:ascii="Tenorite" w:eastAsia="Times New Roman" w:hAnsi="Tenorite" w:cs="Times New Roman"/>
          <w:sz w:val="20"/>
          <w:szCs w:val="20"/>
          <w:lang w:eastAsia="fr-FR"/>
        </w:rPr>
      </w:pPr>
      <w:hyperlink r:id="rId51" w:history="1">
        <w:r w:rsidRPr="00AA63A0">
          <w:rPr>
            <w:rStyle w:val="Lienhypertexte"/>
            <w:rFonts w:ascii="Tenorite" w:eastAsia="Times New Roman" w:hAnsi="Tenorite" w:cs="Times New Roman"/>
            <w:color w:val="auto"/>
            <w:sz w:val="20"/>
            <w:szCs w:val="20"/>
            <w:lang w:eastAsia="fr-FR"/>
          </w:rPr>
          <w:t>Décision</w:t>
        </w:r>
      </w:hyperlink>
      <w:r w:rsidRPr="00AA63A0">
        <w:rPr>
          <w:rFonts w:ascii="Tenorite" w:eastAsia="Times New Roman" w:hAnsi="Tenorite" w:cs="Times New Roman"/>
          <w:sz w:val="20"/>
          <w:szCs w:val="20"/>
          <w:lang w:eastAsia="fr-FR"/>
        </w:rPr>
        <w:t xml:space="preserve"> d’exécution (UE) 2024/2671 de la Commission du 7 octobre 2024 modifiant la décision d’exécution (UE) 2024/2132 concernant certaines mesures d’urgence relatives à l’infection par le virus de la peste des petits ruminants en Grèce (JOUE 10/10/2024)</w:t>
      </w:r>
    </w:p>
    <w:p w14:paraId="24D1B38A" w14:textId="77777777" w:rsidR="00AA63A0" w:rsidRPr="00AA63A0" w:rsidRDefault="00AA63A0" w:rsidP="00AA63A0">
      <w:pPr>
        <w:shd w:val="clear" w:color="auto" w:fill="FFFFFF"/>
        <w:spacing w:after="0" w:line="240" w:lineRule="auto"/>
        <w:ind w:left="142"/>
        <w:jc w:val="both"/>
        <w:rPr>
          <w:rFonts w:ascii="Tenorite" w:eastAsia="Times New Roman" w:hAnsi="Tenorite" w:cs="Times New Roman"/>
          <w:sz w:val="20"/>
          <w:szCs w:val="20"/>
          <w:lang w:eastAsia="fr-FR"/>
        </w:rPr>
      </w:pPr>
    </w:p>
    <w:p w14:paraId="6C33C72E" w14:textId="77777777" w:rsidR="000949A1" w:rsidRPr="00AA63A0" w:rsidRDefault="000949A1" w:rsidP="00AA63A0">
      <w:pPr>
        <w:shd w:val="clear" w:color="auto" w:fill="FFFFFF"/>
        <w:spacing w:after="0" w:line="240" w:lineRule="auto"/>
        <w:ind w:left="142"/>
        <w:jc w:val="both"/>
        <w:rPr>
          <w:rFonts w:ascii="Tenorite" w:hAnsi="Tenorite"/>
          <w:sz w:val="20"/>
          <w:szCs w:val="20"/>
        </w:rPr>
      </w:pPr>
      <w:hyperlink r:id="rId52" w:history="1">
        <w:r w:rsidRPr="00AA63A0">
          <w:rPr>
            <w:rStyle w:val="Lienhypertexte"/>
            <w:rFonts w:ascii="Tenorite" w:hAnsi="Tenorite"/>
            <w:color w:val="auto"/>
            <w:sz w:val="20"/>
            <w:szCs w:val="20"/>
          </w:rPr>
          <w:t>Décision</w:t>
        </w:r>
      </w:hyperlink>
      <w:r w:rsidRPr="00AA63A0">
        <w:rPr>
          <w:rFonts w:ascii="Tenorite" w:hAnsi="Tenorite"/>
          <w:sz w:val="20"/>
          <w:szCs w:val="20"/>
        </w:rPr>
        <w:t xml:space="preserve"> d’exécution (UE) 2024/2778 de la Commission du 24 octobre 2024 concernant certaines mesures d’urgence provisoires relatives à la clavelée et à la variole caprine en Bulgarie (JOUE 29/10/2024)</w:t>
      </w:r>
    </w:p>
    <w:p w14:paraId="6361239D" w14:textId="77777777" w:rsidR="00041F4A" w:rsidRPr="005F3EA3" w:rsidRDefault="00041F4A" w:rsidP="00C12D1F">
      <w:pPr>
        <w:spacing w:after="0" w:line="240" w:lineRule="auto"/>
        <w:ind w:left="426" w:hanging="283"/>
        <w:jc w:val="both"/>
        <w:rPr>
          <w:rFonts w:ascii="Tenorite" w:hAnsi="Tenorite"/>
          <w:color w:val="C45911" w:themeColor="accent2" w:themeShade="BF"/>
          <w:sz w:val="20"/>
          <w:szCs w:val="18"/>
        </w:rPr>
      </w:pPr>
    </w:p>
    <w:p w14:paraId="77517685" w14:textId="77777777" w:rsidR="00C57BC3" w:rsidRPr="00AA63A0" w:rsidRDefault="00C57BC3" w:rsidP="00AA63A0">
      <w:pPr>
        <w:shd w:val="clear" w:color="auto" w:fill="FFFFFF"/>
        <w:spacing w:after="0" w:line="240" w:lineRule="auto"/>
        <w:ind w:left="142"/>
        <w:jc w:val="both"/>
        <w:rPr>
          <w:rFonts w:ascii="Tenorite" w:eastAsia="Times New Roman" w:hAnsi="Tenorite" w:cs="Times New Roman"/>
          <w:sz w:val="20"/>
          <w:szCs w:val="20"/>
          <w:lang w:eastAsia="fr-FR"/>
        </w:rPr>
      </w:pPr>
      <w:r w:rsidRPr="00AA63A0">
        <w:rPr>
          <w:rFonts w:ascii="Tenorite" w:eastAsia="Times New Roman" w:hAnsi="Tenorite" w:cs="Times New Roman"/>
          <w:b/>
          <w:bCs/>
          <w:sz w:val="20"/>
          <w:szCs w:val="20"/>
          <w:lang w:eastAsia="fr-FR"/>
        </w:rPr>
        <w:t>Instruction technique </w:t>
      </w:r>
      <w:hyperlink r:id="rId53" w:history="1">
        <w:r w:rsidRPr="00AA63A0">
          <w:rPr>
            <w:rFonts w:ascii="Tenorite" w:eastAsia="Times New Roman" w:hAnsi="Tenorite" w:cs="Times New Roman"/>
            <w:sz w:val="20"/>
            <w:szCs w:val="20"/>
            <w:u w:val="single"/>
            <w:lang w:eastAsia="fr-FR"/>
          </w:rPr>
          <w:t>DGAL/SDSBEA/2024-538</w:t>
        </w:r>
      </w:hyperlink>
      <w:r w:rsidRPr="00AA63A0">
        <w:rPr>
          <w:rFonts w:ascii="Tenorite" w:eastAsia="Times New Roman" w:hAnsi="Tenorite" w:cs="Times New Roman"/>
          <w:sz w:val="20"/>
          <w:szCs w:val="20"/>
          <w:lang w:eastAsia="fr-FR"/>
        </w:rPr>
        <w:t> du 26-09-2024 - Peste porcine africaine / Peste porcine classique – Niveaux de surveillance dans la faune sauvage (DGAL)</w:t>
      </w:r>
    </w:p>
    <w:p w14:paraId="6A3B6A51" w14:textId="77777777" w:rsidR="00AA63A0" w:rsidRPr="00AA63A0" w:rsidRDefault="00AA63A0" w:rsidP="00AA63A0">
      <w:pPr>
        <w:shd w:val="clear" w:color="auto" w:fill="FFFFFF"/>
        <w:spacing w:after="0" w:line="240" w:lineRule="auto"/>
        <w:ind w:left="142"/>
        <w:jc w:val="both"/>
        <w:rPr>
          <w:rFonts w:ascii="Tenorite" w:eastAsia="Times New Roman" w:hAnsi="Tenorite" w:cs="Times New Roman"/>
          <w:sz w:val="20"/>
          <w:szCs w:val="20"/>
          <w:lang w:eastAsia="fr-FR"/>
        </w:rPr>
      </w:pPr>
    </w:p>
    <w:p w14:paraId="28DFC6AE" w14:textId="77777777" w:rsidR="00C57BC3" w:rsidRPr="00AA63A0" w:rsidRDefault="00C57BC3" w:rsidP="00AA63A0">
      <w:pPr>
        <w:shd w:val="clear" w:color="auto" w:fill="FFFFFF"/>
        <w:spacing w:after="0" w:line="240" w:lineRule="auto"/>
        <w:ind w:left="142"/>
        <w:jc w:val="both"/>
        <w:rPr>
          <w:rFonts w:ascii="Tenorite" w:eastAsia="Times New Roman" w:hAnsi="Tenorite" w:cs="Times New Roman"/>
          <w:sz w:val="20"/>
          <w:szCs w:val="20"/>
          <w:lang w:eastAsia="fr-FR"/>
        </w:rPr>
      </w:pPr>
      <w:hyperlink r:id="rId54" w:history="1">
        <w:r w:rsidRPr="00AA63A0">
          <w:rPr>
            <w:rStyle w:val="Lienhypertexte"/>
            <w:rFonts w:ascii="Tenorite" w:eastAsia="Times New Roman" w:hAnsi="Tenorite" w:cs="Times New Roman"/>
            <w:color w:val="auto"/>
            <w:sz w:val="20"/>
            <w:szCs w:val="20"/>
            <w:lang w:eastAsia="fr-FR"/>
          </w:rPr>
          <w:t>Règlement</w:t>
        </w:r>
      </w:hyperlink>
      <w:r w:rsidRPr="00AA63A0">
        <w:rPr>
          <w:rFonts w:ascii="Tenorite" w:eastAsia="Times New Roman" w:hAnsi="Tenorite" w:cs="Times New Roman"/>
          <w:sz w:val="20"/>
          <w:szCs w:val="20"/>
          <w:lang w:eastAsia="fr-FR"/>
        </w:rPr>
        <w:t xml:space="preserve"> d’exécution (UE) 2024/2656 de la Commission du 4 octobre 2024 modifiant l’annexe I du règlement d’exécution (UE) 2023/594 établissant des mesures spéciales de lutte contre la peste porcine africaine (JOUE 07/10/2024)</w:t>
      </w:r>
    </w:p>
    <w:p w14:paraId="05C9380F" w14:textId="77777777" w:rsidR="00AA63A0" w:rsidRPr="00AA63A0" w:rsidRDefault="00AA63A0" w:rsidP="00AA63A0">
      <w:pPr>
        <w:shd w:val="clear" w:color="auto" w:fill="FFFFFF"/>
        <w:spacing w:after="0" w:line="240" w:lineRule="auto"/>
        <w:ind w:left="142"/>
        <w:jc w:val="both"/>
        <w:rPr>
          <w:rFonts w:ascii="Tenorite" w:eastAsia="Times New Roman" w:hAnsi="Tenorite" w:cs="Times New Roman"/>
          <w:sz w:val="20"/>
          <w:szCs w:val="20"/>
          <w:lang w:eastAsia="fr-FR"/>
        </w:rPr>
      </w:pPr>
    </w:p>
    <w:p w14:paraId="346EB581" w14:textId="77777777" w:rsidR="00C57BC3" w:rsidRPr="00AA63A0" w:rsidRDefault="00C57BC3" w:rsidP="00AA63A0">
      <w:pPr>
        <w:shd w:val="clear" w:color="auto" w:fill="FFFFFF"/>
        <w:spacing w:after="0" w:line="240" w:lineRule="auto"/>
        <w:ind w:left="142"/>
        <w:jc w:val="both"/>
        <w:rPr>
          <w:rFonts w:ascii="Tenorite" w:eastAsia="Times New Roman" w:hAnsi="Tenorite" w:cs="Times New Roman"/>
          <w:sz w:val="20"/>
          <w:szCs w:val="20"/>
          <w:lang w:eastAsia="fr-FR"/>
        </w:rPr>
      </w:pPr>
      <w:hyperlink r:id="rId55" w:history="1">
        <w:r w:rsidRPr="00AA63A0">
          <w:rPr>
            <w:rStyle w:val="Lienhypertexte"/>
            <w:rFonts w:ascii="Tenorite" w:eastAsia="Times New Roman" w:hAnsi="Tenorite" w:cs="Times New Roman"/>
            <w:color w:val="auto"/>
            <w:sz w:val="20"/>
            <w:szCs w:val="20"/>
            <w:lang w:eastAsia="fr-FR"/>
          </w:rPr>
          <w:t>Règlement</w:t>
        </w:r>
      </w:hyperlink>
      <w:r w:rsidRPr="00AA63A0">
        <w:rPr>
          <w:rFonts w:ascii="Tenorite" w:eastAsia="Times New Roman" w:hAnsi="Tenorite" w:cs="Times New Roman"/>
          <w:sz w:val="20"/>
          <w:szCs w:val="20"/>
          <w:lang w:eastAsia="fr-FR"/>
        </w:rPr>
        <w:t xml:space="preserve"> d’exécution (UE) 2024/2825 de la Commission du 29 octobre 2024 modifiant l’annexe I du règlement d’exécution (UE) 2023/594 établissant des mesures spéciales de lutte contre la peste porcine africaine (JOUE 31/10/2024)</w:t>
      </w:r>
    </w:p>
    <w:p w14:paraId="5423AA84" w14:textId="77777777" w:rsidR="00C57BC3" w:rsidRPr="00AA63A0" w:rsidRDefault="00C57BC3" w:rsidP="00AA63A0">
      <w:pPr>
        <w:spacing w:after="0" w:line="240" w:lineRule="auto"/>
        <w:ind w:left="142" w:hanging="283"/>
        <w:jc w:val="both"/>
        <w:rPr>
          <w:rFonts w:ascii="Tenorite" w:hAnsi="Tenorite"/>
          <w:color w:val="C45911" w:themeColor="accent2" w:themeShade="BF"/>
          <w:sz w:val="18"/>
          <w:szCs w:val="16"/>
        </w:rPr>
      </w:pPr>
    </w:p>
    <w:p w14:paraId="0009B169" w14:textId="77777777" w:rsidR="00C57BC3" w:rsidRDefault="00C57BC3" w:rsidP="00AA63A0">
      <w:pPr>
        <w:shd w:val="clear" w:color="auto" w:fill="FFFFFF"/>
        <w:spacing w:after="0" w:line="240" w:lineRule="auto"/>
        <w:ind w:left="142"/>
        <w:jc w:val="both"/>
        <w:rPr>
          <w:rFonts w:ascii="Tenorite" w:eastAsia="Times New Roman" w:hAnsi="Tenorite" w:cs="Times New Roman"/>
          <w:sz w:val="20"/>
          <w:szCs w:val="20"/>
          <w:lang w:eastAsia="fr-FR"/>
        </w:rPr>
      </w:pPr>
      <w:hyperlink r:id="rId56" w:history="1">
        <w:r w:rsidRPr="00AA63A0">
          <w:rPr>
            <w:rStyle w:val="Lienhypertexte"/>
            <w:rFonts w:ascii="Tenorite" w:eastAsia="Times New Roman" w:hAnsi="Tenorite" w:cs="Times New Roman"/>
            <w:color w:val="auto"/>
            <w:sz w:val="20"/>
            <w:szCs w:val="20"/>
            <w:lang w:eastAsia="fr-FR"/>
          </w:rPr>
          <w:t>Décision</w:t>
        </w:r>
      </w:hyperlink>
      <w:r w:rsidRPr="00AA63A0">
        <w:rPr>
          <w:rFonts w:ascii="Tenorite" w:eastAsia="Times New Roman" w:hAnsi="Tenorite" w:cs="Times New Roman"/>
          <w:sz w:val="20"/>
          <w:szCs w:val="20"/>
          <w:lang w:eastAsia="fr-FR"/>
        </w:rPr>
        <w:t xml:space="preserve"> d’exécution (UE) 2024/2743 de la Commission du 21 octobre 2024 modifiant l’annexe de la décision d’exécution (UE) 2023/2447 concernant des mesures d’urgence motivées par l’apparition de foyers d’influenza aviaire hautement pathogène dans certains États membres (JOUE 22/10/2024)</w:t>
      </w:r>
    </w:p>
    <w:p w14:paraId="05BB6E7C" w14:textId="77777777" w:rsidR="00AA63A0" w:rsidRPr="00AA63A0" w:rsidRDefault="00AA63A0" w:rsidP="00AA63A0">
      <w:pPr>
        <w:shd w:val="clear" w:color="auto" w:fill="FFFFFF"/>
        <w:spacing w:after="0" w:line="240" w:lineRule="auto"/>
        <w:ind w:left="142"/>
        <w:jc w:val="both"/>
        <w:rPr>
          <w:rFonts w:ascii="Tenorite" w:eastAsia="Times New Roman" w:hAnsi="Tenorite" w:cs="Times New Roman"/>
          <w:sz w:val="20"/>
          <w:szCs w:val="20"/>
          <w:lang w:eastAsia="fr-FR"/>
        </w:rPr>
      </w:pPr>
    </w:p>
    <w:p w14:paraId="6837DC9D" w14:textId="77777777" w:rsidR="00C57BC3" w:rsidRDefault="00C57BC3" w:rsidP="00AA63A0">
      <w:pPr>
        <w:shd w:val="clear" w:color="auto" w:fill="FFFFFF"/>
        <w:spacing w:after="0" w:line="240" w:lineRule="auto"/>
        <w:ind w:left="142"/>
        <w:jc w:val="both"/>
        <w:rPr>
          <w:rFonts w:ascii="Tenorite" w:eastAsia="Times New Roman" w:hAnsi="Tenorite" w:cs="Times New Roman"/>
          <w:sz w:val="20"/>
          <w:szCs w:val="20"/>
          <w:lang w:eastAsia="fr-FR"/>
        </w:rPr>
      </w:pPr>
      <w:hyperlink r:id="rId57" w:history="1">
        <w:r w:rsidRPr="00AA63A0">
          <w:rPr>
            <w:rStyle w:val="Lienhypertexte"/>
            <w:rFonts w:ascii="Tenorite" w:eastAsia="Times New Roman" w:hAnsi="Tenorite" w:cs="Times New Roman"/>
            <w:color w:val="auto"/>
            <w:sz w:val="20"/>
            <w:szCs w:val="20"/>
            <w:lang w:eastAsia="fr-FR"/>
          </w:rPr>
          <w:t>Décision</w:t>
        </w:r>
      </w:hyperlink>
      <w:r w:rsidRPr="00AA63A0">
        <w:rPr>
          <w:rFonts w:ascii="Tenorite" w:eastAsia="Times New Roman" w:hAnsi="Tenorite" w:cs="Times New Roman"/>
          <w:sz w:val="20"/>
          <w:szCs w:val="20"/>
          <w:lang w:eastAsia="fr-FR"/>
        </w:rPr>
        <w:t xml:space="preserve"> d’exécution (UE) 2024/2681 de la Commission du 8 octobre 2024 modifiant l’annexe de la décision d’exécution (UE) 2023/2447 concernant des mesures d’urgence motivées par l’apparition de foyers d’influenza aviaire hautement pathogène dans certains États membres (JOUE 11/10/2024)</w:t>
      </w:r>
    </w:p>
    <w:p w14:paraId="0A4306BD" w14:textId="77777777" w:rsidR="00AA63A0" w:rsidRPr="00AA63A0" w:rsidRDefault="00AA63A0" w:rsidP="00AA63A0">
      <w:pPr>
        <w:shd w:val="clear" w:color="auto" w:fill="FFFFFF"/>
        <w:spacing w:after="0" w:line="240" w:lineRule="auto"/>
        <w:ind w:left="142"/>
        <w:jc w:val="both"/>
        <w:rPr>
          <w:rStyle w:val="Lienhypertexte"/>
          <w:rFonts w:ascii="Tenorite" w:eastAsia="Times New Roman" w:hAnsi="Tenorite" w:cs="Times New Roman"/>
          <w:color w:val="auto"/>
          <w:sz w:val="20"/>
          <w:szCs w:val="20"/>
          <w:lang w:eastAsia="fr-FR"/>
        </w:rPr>
      </w:pPr>
    </w:p>
    <w:p w14:paraId="43891412" w14:textId="77777777" w:rsidR="00C57BC3" w:rsidRDefault="00C57BC3" w:rsidP="00AA63A0">
      <w:pPr>
        <w:shd w:val="clear" w:color="auto" w:fill="FFFFFF"/>
        <w:spacing w:after="0" w:line="240" w:lineRule="auto"/>
        <w:ind w:left="142"/>
        <w:jc w:val="both"/>
        <w:rPr>
          <w:rFonts w:ascii="Tenorite" w:eastAsia="Times New Roman" w:hAnsi="Tenorite" w:cs="Times New Roman"/>
          <w:sz w:val="20"/>
          <w:szCs w:val="20"/>
          <w:lang w:eastAsia="fr-FR"/>
        </w:rPr>
      </w:pPr>
      <w:hyperlink r:id="rId58" w:history="1">
        <w:r w:rsidRPr="00AA63A0">
          <w:rPr>
            <w:rStyle w:val="Lienhypertexte"/>
            <w:rFonts w:ascii="Tenorite" w:eastAsia="Times New Roman" w:hAnsi="Tenorite" w:cs="Times New Roman"/>
            <w:color w:val="auto"/>
            <w:sz w:val="20"/>
            <w:szCs w:val="20"/>
            <w:lang w:eastAsia="fr-FR"/>
          </w:rPr>
          <w:t>Arrêté</w:t>
        </w:r>
      </w:hyperlink>
      <w:r w:rsidRPr="00AA63A0">
        <w:rPr>
          <w:rFonts w:ascii="Tenorite" w:eastAsia="Times New Roman" w:hAnsi="Tenorite" w:cs="Times New Roman"/>
          <w:sz w:val="20"/>
          <w:szCs w:val="20"/>
          <w:lang w:eastAsia="fr-FR"/>
        </w:rPr>
        <w:t xml:space="preserve"> du 11 octobre 2024 qualifiant le niveau de risque en matière d'influenza aviaire hautement pathogène (JORF 15/10/2024)</w:t>
      </w:r>
    </w:p>
    <w:p w14:paraId="135B51DA" w14:textId="77777777" w:rsidR="00AA63A0" w:rsidRPr="00AA63A0" w:rsidRDefault="00AA63A0" w:rsidP="00AA63A0">
      <w:pPr>
        <w:shd w:val="clear" w:color="auto" w:fill="FFFFFF"/>
        <w:spacing w:after="0" w:line="240" w:lineRule="auto"/>
        <w:ind w:left="142"/>
        <w:jc w:val="both"/>
        <w:rPr>
          <w:rStyle w:val="Lienhypertexte"/>
          <w:rFonts w:ascii="Tenorite" w:eastAsia="Times New Roman" w:hAnsi="Tenorite" w:cs="Times New Roman"/>
          <w:color w:val="auto"/>
          <w:sz w:val="20"/>
          <w:szCs w:val="20"/>
          <w:lang w:eastAsia="fr-FR"/>
        </w:rPr>
      </w:pPr>
    </w:p>
    <w:p w14:paraId="35953B18" w14:textId="77777777" w:rsidR="00C57BC3" w:rsidRDefault="00C57BC3" w:rsidP="00AA63A0">
      <w:pPr>
        <w:shd w:val="clear" w:color="auto" w:fill="FFFFFF"/>
        <w:spacing w:after="0" w:line="240" w:lineRule="auto"/>
        <w:ind w:left="142"/>
        <w:jc w:val="both"/>
        <w:rPr>
          <w:rFonts w:ascii="Tenorite" w:eastAsia="Times New Roman" w:hAnsi="Tenorite" w:cs="Times New Roman"/>
          <w:sz w:val="20"/>
          <w:szCs w:val="20"/>
          <w:lang w:eastAsia="fr-FR"/>
        </w:rPr>
      </w:pPr>
      <w:r w:rsidRPr="00AA63A0">
        <w:rPr>
          <w:rFonts w:ascii="Tenorite" w:eastAsia="Times New Roman" w:hAnsi="Tenorite" w:cs="Times New Roman"/>
          <w:b/>
          <w:bCs/>
          <w:sz w:val="20"/>
          <w:szCs w:val="20"/>
          <w:lang w:eastAsia="fr-FR"/>
        </w:rPr>
        <w:t>Instruction technique </w:t>
      </w:r>
      <w:hyperlink r:id="rId59" w:history="1">
        <w:r w:rsidRPr="00AA63A0">
          <w:rPr>
            <w:rFonts w:ascii="Tenorite" w:eastAsia="Times New Roman" w:hAnsi="Tenorite" w:cs="Times New Roman"/>
            <w:sz w:val="20"/>
            <w:szCs w:val="20"/>
            <w:u w:val="single"/>
            <w:lang w:eastAsia="fr-FR"/>
          </w:rPr>
          <w:t>DGAL/SDSBEA/2024-546</w:t>
        </w:r>
      </w:hyperlink>
      <w:r w:rsidRPr="00AA63A0">
        <w:rPr>
          <w:rFonts w:ascii="Tenorite" w:eastAsia="Times New Roman" w:hAnsi="Tenorite" w:cs="Times New Roman"/>
          <w:sz w:val="20"/>
          <w:szCs w:val="20"/>
          <w:lang w:eastAsia="fr-FR"/>
        </w:rPr>
        <w:t> du 30-09-2024 - Plan de vaccination officiel IAHP – Campagne de vaccination des canards - octobre 2024 (DGAL)</w:t>
      </w:r>
    </w:p>
    <w:p w14:paraId="41800964" w14:textId="77777777" w:rsidR="00AA63A0" w:rsidRPr="00AA63A0" w:rsidRDefault="00AA63A0" w:rsidP="00AA63A0">
      <w:pPr>
        <w:shd w:val="clear" w:color="auto" w:fill="FFFFFF"/>
        <w:spacing w:after="0" w:line="240" w:lineRule="auto"/>
        <w:ind w:left="142"/>
        <w:jc w:val="both"/>
        <w:rPr>
          <w:rFonts w:ascii="Tenorite" w:eastAsia="Times New Roman" w:hAnsi="Tenorite" w:cs="Times New Roman"/>
          <w:sz w:val="20"/>
          <w:szCs w:val="20"/>
          <w:lang w:eastAsia="fr-FR"/>
        </w:rPr>
      </w:pPr>
    </w:p>
    <w:p w14:paraId="66034F4B" w14:textId="77777777" w:rsidR="00C57BC3" w:rsidRPr="00AA63A0" w:rsidRDefault="00C57BC3" w:rsidP="00AA63A0">
      <w:pPr>
        <w:shd w:val="clear" w:color="auto" w:fill="FFFFFF"/>
        <w:spacing w:after="0" w:line="240" w:lineRule="auto"/>
        <w:ind w:left="142"/>
        <w:jc w:val="both"/>
        <w:rPr>
          <w:rFonts w:ascii="Tenorite" w:eastAsia="Times New Roman" w:hAnsi="Tenorite" w:cs="Times New Roman"/>
          <w:sz w:val="20"/>
          <w:szCs w:val="20"/>
          <w:lang w:eastAsia="fr-FR"/>
        </w:rPr>
      </w:pPr>
      <w:hyperlink r:id="rId60" w:history="1">
        <w:r w:rsidRPr="00AA63A0">
          <w:rPr>
            <w:rStyle w:val="Lienhypertexte"/>
            <w:rFonts w:ascii="Tenorite" w:eastAsia="Times New Roman" w:hAnsi="Tenorite" w:cs="Times New Roman"/>
            <w:b/>
            <w:bCs/>
            <w:color w:val="auto"/>
            <w:sz w:val="20"/>
            <w:szCs w:val="20"/>
            <w:lang w:eastAsia="fr-FR"/>
          </w:rPr>
          <w:t>Décision</w:t>
        </w:r>
      </w:hyperlink>
      <w:r w:rsidRPr="00AA63A0">
        <w:rPr>
          <w:rFonts w:ascii="Tenorite" w:eastAsia="Times New Roman" w:hAnsi="Tenorite" w:cs="Times New Roman"/>
          <w:sz w:val="20"/>
          <w:szCs w:val="20"/>
          <w:lang w:eastAsia="fr-FR"/>
        </w:rPr>
        <w:t> du 10-10-2024 - Décision de zone vaccinale MHE (DGAL)</w:t>
      </w:r>
    </w:p>
    <w:p w14:paraId="01ECB73F" w14:textId="77777777" w:rsidR="00C57BC3" w:rsidRDefault="00C57BC3" w:rsidP="00AA63A0">
      <w:pPr>
        <w:shd w:val="clear" w:color="auto" w:fill="FFFFFF"/>
        <w:spacing w:after="0" w:line="240" w:lineRule="auto"/>
        <w:ind w:left="142"/>
        <w:jc w:val="both"/>
        <w:rPr>
          <w:rFonts w:ascii="Tenorite" w:eastAsia="Times New Roman" w:hAnsi="Tenorite" w:cs="Times New Roman"/>
          <w:sz w:val="20"/>
          <w:szCs w:val="20"/>
          <w:lang w:eastAsia="fr-FR"/>
        </w:rPr>
      </w:pPr>
      <w:hyperlink r:id="rId61" w:history="1">
        <w:r w:rsidRPr="00AA63A0">
          <w:rPr>
            <w:rStyle w:val="Lienhypertexte"/>
            <w:rFonts w:ascii="Tenorite" w:eastAsia="Times New Roman" w:hAnsi="Tenorite" w:cs="Times New Roman"/>
            <w:color w:val="auto"/>
            <w:sz w:val="20"/>
            <w:szCs w:val="20"/>
            <w:lang w:eastAsia="fr-FR"/>
          </w:rPr>
          <w:t>Règlement</w:t>
        </w:r>
      </w:hyperlink>
      <w:r w:rsidRPr="00AA63A0">
        <w:rPr>
          <w:rFonts w:ascii="Tenorite" w:eastAsia="Times New Roman" w:hAnsi="Tenorite" w:cs="Times New Roman"/>
          <w:sz w:val="20"/>
          <w:szCs w:val="20"/>
          <w:lang w:eastAsia="fr-FR"/>
        </w:rPr>
        <w:t xml:space="preserve"> délégué (UE) 2024/2623 de la Commission du 30 juillet 2024 complétant le règlement (UE) 2016/429 du Parlement européen et du Conseil en ce qui concerne les règles relatives à l’approbation et à la reconnaissance du statut indemne de maladie de compartiments détenant des animaux terrestres (JOUE 04/10/2024)</w:t>
      </w:r>
    </w:p>
    <w:p w14:paraId="15CE0F23" w14:textId="77777777" w:rsidR="006C44BE" w:rsidRPr="00AA63A0" w:rsidRDefault="006C44BE" w:rsidP="00AA63A0">
      <w:pPr>
        <w:shd w:val="clear" w:color="auto" w:fill="FFFFFF"/>
        <w:spacing w:after="0" w:line="240" w:lineRule="auto"/>
        <w:ind w:left="142"/>
        <w:jc w:val="both"/>
        <w:rPr>
          <w:rStyle w:val="Lienhypertexte"/>
          <w:rFonts w:ascii="Tenorite" w:eastAsia="Times New Roman" w:hAnsi="Tenorite" w:cs="Times New Roman"/>
          <w:color w:val="auto"/>
          <w:sz w:val="20"/>
          <w:szCs w:val="20"/>
          <w:lang w:eastAsia="fr-FR"/>
        </w:rPr>
      </w:pPr>
    </w:p>
    <w:p w14:paraId="3622C079" w14:textId="77777777" w:rsidR="00C57BC3" w:rsidRPr="00AA63A0" w:rsidRDefault="00C57BC3" w:rsidP="00AA63A0">
      <w:pPr>
        <w:shd w:val="clear" w:color="auto" w:fill="FFFFFF"/>
        <w:spacing w:after="0" w:line="240" w:lineRule="auto"/>
        <w:ind w:left="142"/>
        <w:jc w:val="both"/>
        <w:rPr>
          <w:rFonts w:ascii="Tenorite" w:eastAsia="Times New Roman" w:hAnsi="Tenorite" w:cs="Times New Roman"/>
          <w:sz w:val="20"/>
          <w:szCs w:val="20"/>
          <w:lang w:eastAsia="fr-FR"/>
        </w:rPr>
      </w:pPr>
      <w:hyperlink r:id="rId62" w:history="1">
        <w:r w:rsidRPr="00AA63A0">
          <w:rPr>
            <w:rStyle w:val="Lienhypertexte"/>
            <w:rFonts w:ascii="Tenorite" w:eastAsia="Times New Roman" w:hAnsi="Tenorite" w:cs="Times New Roman"/>
            <w:color w:val="auto"/>
            <w:sz w:val="20"/>
            <w:szCs w:val="20"/>
            <w:lang w:eastAsia="fr-FR"/>
          </w:rPr>
          <w:t>Règlement</w:t>
        </w:r>
      </w:hyperlink>
      <w:r w:rsidRPr="00AA63A0">
        <w:rPr>
          <w:rFonts w:ascii="Tenorite" w:eastAsia="Times New Roman" w:hAnsi="Tenorite" w:cs="Times New Roman"/>
          <w:sz w:val="20"/>
          <w:szCs w:val="20"/>
          <w:lang w:eastAsia="fr-FR"/>
        </w:rPr>
        <w:t xml:space="preserve"> d’exécution (UE) 2024/2692 de la Commission du 17 octobre 2024 modifiant les annexes I et VIII du règlement d’exécution (UE) 2021/620 en ce qui concerne l’approbation ou le retrait du statut indemne de maladie de certains États membres ou de zones de ceux-ci pour certaines maladies répertoriées et l’approbation de programmes d’éradication de certaines maladies répertoriées (JOUE 18/10/2024)</w:t>
      </w:r>
    </w:p>
    <w:p w14:paraId="032D74F6" w14:textId="77777777" w:rsidR="00C57BC3" w:rsidRPr="0095352E" w:rsidRDefault="00C57BC3" w:rsidP="00C12D1F">
      <w:pPr>
        <w:shd w:val="clear" w:color="auto" w:fill="FFFFFF"/>
        <w:spacing w:after="0" w:line="240" w:lineRule="auto"/>
        <w:jc w:val="both"/>
        <w:rPr>
          <w:rFonts w:ascii="Tenorite" w:eastAsia="Times New Roman" w:hAnsi="Tenorite" w:cs="Times New Roman"/>
          <w:color w:val="636363"/>
          <w:sz w:val="21"/>
          <w:szCs w:val="21"/>
          <w:lang w:eastAsia="fr-FR"/>
        </w:rPr>
      </w:pPr>
    </w:p>
    <w:p w14:paraId="4B7B7C52" w14:textId="65049993" w:rsidR="00D025D4" w:rsidRPr="005F3EA3" w:rsidRDefault="00D025D4" w:rsidP="00C12D1F">
      <w:pPr>
        <w:spacing w:after="0" w:line="240" w:lineRule="auto"/>
        <w:ind w:left="426" w:hanging="283"/>
        <w:jc w:val="both"/>
        <w:rPr>
          <w:rFonts w:ascii="Tenorite" w:hAnsi="Tenorite"/>
          <w:color w:val="C45911" w:themeColor="accent2" w:themeShade="BF"/>
          <w:sz w:val="20"/>
          <w:szCs w:val="18"/>
        </w:rPr>
      </w:pPr>
      <w:r w:rsidRPr="005F3EA3">
        <w:rPr>
          <w:rFonts w:ascii="Tenorite" w:hAnsi="Tenorite"/>
          <w:color w:val="C45911" w:themeColor="accent2" w:themeShade="BF"/>
          <w:sz w:val="20"/>
          <w:szCs w:val="18"/>
        </w:rPr>
        <w:t>Sécurité sanitaire</w:t>
      </w:r>
    </w:p>
    <w:p w14:paraId="1F1603D9" w14:textId="77777777" w:rsidR="000949A1" w:rsidRPr="00AA63A0" w:rsidRDefault="000949A1" w:rsidP="00AA63A0">
      <w:pPr>
        <w:shd w:val="clear" w:color="auto" w:fill="FFFFFF"/>
        <w:spacing w:after="0" w:line="240" w:lineRule="auto"/>
        <w:ind w:left="142"/>
        <w:jc w:val="both"/>
        <w:rPr>
          <w:rFonts w:ascii="Tenorite" w:hAnsi="Tenorite"/>
          <w:sz w:val="20"/>
          <w:szCs w:val="20"/>
        </w:rPr>
      </w:pPr>
      <w:hyperlink r:id="rId63" w:history="1">
        <w:r w:rsidRPr="00AA63A0">
          <w:rPr>
            <w:rStyle w:val="Lienhypertexte"/>
            <w:rFonts w:ascii="Tenorite" w:hAnsi="Tenorite"/>
            <w:color w:val="auto"/>
            <w:sz w:val="20"/>
            <w:szCs w:val="20"/>
          </w:rPr>
          <w:t>Règlement</w:t>
        </w:r>
      </w:hyperlink>
      <w:r w:rsidRPr="00AA63A0">
        <w:rPr>
          <w:rFonts w:ascii="Tenorite" w:hAnsi="Tenorite"/>
          <w:sz w:val="20"/>
          <w:szCs w:val="20"/>
        </w:rPr>
        <w:t xml:space="preserve"> d’exécution (UE) 2024/2598 de la Commission du 4 octobre 2024 établissant la liste des pays tiers ou régions de pays tiers en provenance desquels l’entrée dans l’Union de certains animaux et produits d’origine animale destinés à la consommation humaine est autorisée conformément au règlement (UE) 2017/625 du Parlement européen et du Conseil en ce qui concerne l’application de l’interdiction d’utiliser certains médicaments antimicrobiens (JOUE 07/10/2024)</w:t>
      </w:r>
    </w:p>
    <w:p w14:paraId="0A3CA7AB" w14:textId="77777777" w:rsidR="006C44BE" w:rsidRDefault="006C44BE" w:rsidP="00C12D1F">
      <w:pPr>
        <w:pStyle w:val="Titre1"/>
        <w:spacing w:before="0" w:line="240" w:lineRule="auto"/>
        <w:ind w:left="142"/>
        <w:jc w:val="both"/>
        <w:rPr>
          <w:rFonts w:ascii="Tenorite" w:hAnsi="Tenorite" w:cs="Tahoma"/>
          <w:i/>
          <w:sz w:val="20"/>
          <w:szCs w:val="20"/>
        </w:rPr>
      </w:pPr>
    </w:p>
    <w:p w14:paraId="22B970FD" w14:textId="1D275D8D" w:rsidR="00D025D4" w:rsidRPr="005F3EA3" w:rsidRDefault="00D025D4" w:rsidP="00C12D1F">
      <w:pPr>
        <w:pStyle w:val="Titre1"/>
        <w:spacing w:before="0" w:line="240" w:lineRule="auto"/>
        <w:ind w:left="142"/>
        <w:jc w:val="both"/>
        <w:rPr>
          <w:rFonts w:ascii="Tenorite" w:hAnsi="Tenorite" w:cs="Tahoma"/>
          <w:i/>
          <w:sz w:val="20"/>
          <w:szCs w:val="20"/>
        </w:rPr>
      </w:pPr>
      <w:r w:rsidRPr="005F3EA3">
        <w:rPr>
          <w:rFonts w:ascii="Tenorite" w:hAnsi="Tenorite" w:cs="Tahoma"/>
          <w:i/>
          <w:sz w:val="20"/>
          <w:szCs w:val="20"/>
        </w:rPr>
        <w:t>Ce bulletin est la propriété du CRITT Agro-Alimentaire PACA et est établi à l'usage exclusif de l’entreprise signataire du bulletin d’adhésion.</w:t>
      </w:r>
    </w:p>
    <w:p w14:paraId="3F30563A" w14:textId="77777777" w:rsidR="00D025D4" w:rsidRPr="005F3EA3" w:rsidRDefault="00D025D4" w:rsidP="00C12D1F">
      <w:pPr>
        <w:spacing w:after="0" w:line="240" w:lineRule="auto"/>
        <w:jc w:val="both"/>
        <w:rPr>
          <w:rFonts w:ascii="Tenorite" w:hAnsi="Tenorite"/>
        </w:rPr>
      </w:pPr>
    </w:p>
    <w:p w14:paraId="3C68D160" w14:textId="77777777" w:rsidR="000C0DEF" w:rsidRPr="005F3EA3" w:rsidRDefault="000C0DEF" w:rsidP="00C12D1F">
      <w:pPr>
        <w:spacing w:after="0" w:line="240" w:lineRule="auto"/>
        <w:jc w:val="both"/>
        <w:rPr>
          <w:rFonts w:ascii="Tenorite" w:hAnsi="Tenorite"/>
        </w:rPr>
      </w:pPr>
    </w:p>
    <w:sectPr w:rsidR="000C0DEF" w:rsidRPr="005F3EA3" w:rsidSect="000C0DEF">
      <w:headerReference w:type="even" r:id="rId64"/>
      <w:headerReference w:type="default" r:id="rId65"/>
      <w:footerReference w:type="even" r:id="rId66"/>
      <w:footerReference w:type="default" r:id="rId67"/>
      <w:headerReference w:type="first" r:id="rId68"/>
      <w:footerReference w:type="first" r:id="rId69"/>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81C888" w14:textId="77777777" w:rsidR="000C0DEF" w:rsidRDefault="000C0DEF" w:rsidP="000C0DEF">
      <w:pPr>
        <w:spacing w:after="0" w:line="240" w:lineRule="auto"/>
      </w:pPr>
      <w:r>
        <w:separator/>
      </w:r>
    </w:p>
  </w:endnote>
  <w:endnote w:type="continuationSeparator" w:id="0">
    <w:p w14:paraId="14BE9002" w14:textId="77777777" w:rsidR="000C0DEF" w:rsidRDefault="000C0DEF"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enorite">
    <w:charset w:val="00"/>
    <w:family w:val="auto"/>
    <w:pitch w:val="variable"/>
    <w:sig w:usb0="80000003" w:usb1="00000001"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imianText-Orangutan">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BD74AB" w14:textId="77777777" w:rsidR="00F170B1" w:rsidRDefault="00F170B1">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CEC587" w14:textId="2F967F24" w:rsidR="000C0DEF" w:rsidRPr="00A31270" w:rsidRDefault="00A31270" w:rsidP="00A31270">
    <w:pPr>
      <w:pStyle w:val="Pieddepage"/>
      <w:tabs>
        <w:tab w:val="clear" w:pos="4536"/>
        <w:tab w:val="clear" w:pos="9072"/>
        <w:tab w:val="left" w:pos="3210"/>
      </w:tabs>
      <w:ind w:right="1133"/>
      <w:jc w:val="right"/>
      <w:rPr>
        <w:rFonts w:ascii="Tenorite" w:hAnsi="Tenorite"/>
      </w:rPr>
    </w:pPr>
    <w:r w:rsidRPr="00A31270">
      <w:rPr>
        <w:rFonts w:ascii="Tenorite" w:hAnsi="Tenorite"/>
      </w:rPr>
      <w:t xml:space="preserve">Page </w:t>
    </w:r>
    <w:r w:rsidRPr="00A31270">
      <w:rPr>
        <w:rFonts w:ascii="Tenorite" w:hAnsi="Tenorite"/>
        <w:b/>
        <w:bCs/>
      </w:rPr>
      <w:fldChar w:fldCharType="begin"/>
    </w:r>
    <w:r w:rsidRPr="00A31270">
      <w:rPr>
        <w:rFonts w:ascii="Tenorite" w:hAnsi="Tenorite"/>
        <w:b/>
        <w:bCs/>
      </w:rPr>
      <w:instrText>PAGE  \* Arabic  \* MERGEFORMAT</w:instrText>
    </w:r>
    <w:r w:rsidRPr="00A31270">
      <w:rPr>
        <w:rFonts w:ascii="Tenorite" w:hAnsi="Tenorite"/>
        <w:b/>
        <w:bCs/>
      </w:rPr>
      <w:fldChar w:fldCharType="separate"/>
    </w:r>
    <w:r w:rsidRPr="00A31270">
      <w:rPr>
        <w:rFonts w:ascii="Tenorite" w:hAnsi="Tenorite"/>
        <w:b/>
        <w:bCs/>
      </w:rPr>
      <w:t>1</w:t>
    </w:r>
    <w:r w:rsidRPr="00A31270">
      <w:rPr>
        <w:rFonts w:ascii="Tenorite" w:hAnsi="Tenorite"/>
        <w:b/>
        <w:bCs/>
      </w:rPr>
      <w:fldChar w:fldCharType="end"/>
    </w:r>
    <w:r w:rsidRPr="00A31270">
      <w:rPr>
        <w:rFonts w:ascii="Tenorite" w:hAnsi="Tenorite"/>
      </w:rPr>
      <w:t xml:space="preserve"> sur </w:t>
    </w:r>
    <w:r w:rsidRPr="00A31270">
      <w:rPr>
        <w:rFonts w:ascii="Tenorite" w:hAnsi="Tenorite"/>
        <w:b/>
        <w:bCs/>
      </w:rPr>
      <w:fldChar w:fldCharType="begin"/>
    </w:r>
    <w:r w:rsidRPr="00A31270">
      <w:rPr>
        <w:rFonts w:ascii="Tenorite" w:hAnsi="Tenorite"/>
        <w:b/>
        <w:bCs/>
      </w:rPr>
      <w:instrText>NUMPAGES  \* Arabic  \* MERGEFORMAT</w:instrText>
    </w:r>
    <w:r w:rsidRPr="00A31270">
      <w:rPr>
        <w:rFonts w:ascii="Tenorite" w:hAnsi="Tenorite"/>
        <w:b/>
        <w:bCs/>
      </w:rPr>
      <w:fldChar w:fldCharType="separate"/>
    </w:r>
    <w:r w:rsidRPr="00A31270">
      <w:rPr>
        <w:rFonts w:ascii="Tenorite" w:hAnsi="Tenorite"/>
        <w:b/>
        <w:bCs/>
      </w:rPr>
      <w:t>2</w:t>
    </w:r>
    <w:r w:rsidRPr="00A31270">
      <w:rPr>
        <w:rFonts w:ascii="Tenorite" w:hAnsi="Tenorite"/>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86E89D" w14:textId="77777777" w:rsidR="00F170B1" w:rsidRDefault="00F170B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5A0E76" w14:textId="77777777" w:rsidR="000C0DEF" w:rsidRDefault="000C0DEF" w:rsidP="000C0DEF">
      <w:pPr>
        <w:spacing w:after="0" w:line="240" w:lineRule="auto"/>
      </w:pPr>
      <w:r>
        <w:separator/>
      </w:r>
    </w:p>
  </w:footnote>
  <w:footnote w:type="continuationSeparator" w:id="0">
    <w:p w14:paraId="7155249D" w14:textId="77777777" w:rsidR="000C0DEF" w:rsidRDefault="000C0DEF"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F5FE77" w14:textId="77777777" w:rsidR="000C0DEF" w:rsidRDefault="00F170B1">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2056"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777297" w14:textId="34BA1BBF" w:rsidR="000C0DEF" w:rsidRPr="000C0DEF" w:rsidRDefault="00F170B1" w:rsidP="005F3EA3">
    <w:pPr>
      <w:pStyle w:val="En-tte"/>
    </w:pPr>
    <w:r>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2057" type="#_x0000_t75" style="position:absolute;margin-left:0;margin-top:0;width:559.55pt;height:387.35pt;z-index:-251649024;mso-position-horizontal:center;mso-position-horizontal-relative:margin;mso-position-vertical:center;mso-position-vertical-relative:margin" o:allowincell="f">
          <v:imagedata r:id="rId1" o:title="filigramme sourire FIP"/>
          <w10:wrap anchorx="margin" anchory="margin"/>
        </v:shape>
      </w:pict>
    </w:r>
    <w:r>
      <w:rPr>
        <w:rFonts w:ascii="Verdana" w:eastAsia="Times New Roman" w:hAnsi="Verdana" w:cs="Times New Roman"/>
        <w:noProof/>
        <w:sz w:val="20"/>
        <w:szCs w:val="20"/>
        <w:lang w:eastAsia="fr-FR"/>
      </w:rPr>
      <w:drawing>
        <wp:anchor distT="0" distB="0" distL="114300" distR="114300" simplePos="0" relativeHeight="251672576" behindDoc="0" locked="0" layoutInCell="1" allowOverlap="1" wp14:anchorId="7A6F9B93" wp14:editId="7D7DD228">
          <wp:simplePos x="0" y="0"/>
          <wp:positionH relativeFrom="column">
            <wp:posOffset>0</wp:posOffset>
          </wp:positionH>
          <wp:positionV relativeFrom="paragraph">
            <wp:posOffset>-635</wp:posOffset>
          </wp:positionV>
          <wp:extent cx="518287" cy="633039"/>
          <wp:effectExtent l="0" t="0" r="0" b="0"/>
          <wp:wrapNone/>
          <wp:docPr id="2006680919" name="Image 2006680919"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Graphique, logo&#10;&#10;Description générée automatiquement"/>
                  <pic:cNvPicPr/>
                </pic:nvPicPr>
                <pic:blipFill>
                  <a:blip r:embed="rId2" cstate="print">
                    <a:extLst>
                      <a:ext uri="{28A0092B-C50C-407E-A947-70E740481C1C}">
                        <a14:useLocalDpi xmlns:a14="http://schemas.microsoft.com/office/drawing/2010/main" val="0"/>
                      </a:ext>
                    </a:extLst>
                  </a:blip>
                  <a:stretch>
                    <a:fillRect/>
                  </a:stretch>
                </pic:blipFill>
                <pic:spPr>
                  <a:xfrm>
                    <a:off x="0" y="0"/>
                    <a:ext cx="518287" cy="633039"/>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A6AD3F" w14:textId="77777777" w:rsidR="000C0DEF" w:rsidRDefault="00F170B1">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2055"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revisionView w:inkAnnotations="0"/>
  <w:defaultTabStop w:val="708"/>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41F4A"/>
    <w:rsid w:val="00091F1B"/>
    <w:rsid w:val="000949A1"/>
    <w:rsid w:val="000C0DEF"/>
    <w:rsid w:val="0012180A"/>
    <w:rsid w:val="001A48FB"/>
    <w:rsid w:val="001B42BB"/>
    <w:rsid w:val="002B7CB6"/>
    <w:rsid w:val="002D342B"/>
    <w:rsid w:val="002F17D1"/>
    <w:rsid w:val="00381D77"/>
    <w:rsid w:val="00496102"/>
    <w:rsid w:val="004D4724"/>
    <w:rsid w:val="005F3EA3"/>
    <w:rsid w:val="005F79C3"/>
    <w:rsid w:val="006C44BE"/>
    <w:rsid w:val="008B7919"/>
    <w:rsid w:val="00901715"/>
    <w:rsid w:val="009801DC"/>
    <w:rsid w:val="00A31270"/>
    <w:rsid w:val="00AA63A0"/>
    <w:rsid w:val="00AB0FA2"/>
    <w:rsid w:val="00B515A3"/>
    <w:rsid w:val="00BF1263"/>
    <w:rsid w:val="00C12D1F"/>
    <w:rsid w:val="00C57BC3"/>
    <w:rsid w:val="00C96EFE"/>
    <w:rsid w:val="00D025D4"/>
    <w:rsid w:val="00F170B1"/>
    <w:rsid w:val="00FB67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C96EFE"/>
    <w:rPr>
      <w:strike w:val="0"/>
      <w:dstrike w:val="0"/>
      <w:color w:val="0000FF"/>
      <w:u w:val="none"/>
      <w:effect w:val="none"/>
    </w:rPr>
  </w:style>
  <w:style w:type="paragraph" w:styleId="Textebrut">
    <w:name w:val="Plain Text"/>
    <w:basedOn w:val="Normal"/>
    <w:link w:val="TextebrutCar"/>
    <w:uiPriority w:val="99"/>
    <w:unhideWhenUsed/>
    <w:rsid w:val="00041F4A"/>
    <w:pPr>
      <w:spacing w:after="0" w:line="240" w:lineRule="auto"/>
    </w:pPr>
    <w:rPr>
      <w:rFonts w:ascii="Calibri" w:hAnsi="Calibri"/>
      <w:szCs w:val="21"/>
    </w:rPr>
  </w:style>
  <w:style w:type="character" w:customStyle="1" w:styleId="TextebrutCar">
    <w:name w:val="Texte brut Car"/>
    <w:basedOn w:val="Policepardfaut"/>
    <w:link w:val="Textebrut"/>
    <w:uiPriority w:val="99"/>
    <w:rsid w:val="00041F4A"/>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lex.europa.eu/legal-content/FR/TXT/PDF/?uri=OJ:L_202402635" TargetMode="External"/><Relationship Id="rId18" Type="http://schemas.openxmlformats.org/officeDocument/2006/relationships/hyperlink" Target="https://eur-lex.europa.eu/legal-content/FR/TXT/PDF/?uri=OJ:L_202402609" TargetMode="External"/><Relationship Id="rId26" Type="http://schemas.openxmlformats.org/officeDocument/2006/relationships/hyperlink" Target="https://eur-lex.europa.eu/legal-content/FR/TXT/PDF/?uri=CELEX:62023CJ0438" TargetMode="External"/><Relationship Id="rId39" Type="http://schemas.openxmlformats.org/officeDocument/2006/relationships/hyperlink" Target="https://eur-lex.europa.eu/legal-content/FR/TXT/PDF/?uri=OJ:L_202402629" TargetMode="External"/><Relationship Id="rId21" Type="http://schemas.openxmlformats.org/officeDocument/2006/relationships/hyperlink" Target="https://eur-lex.europa.eu/legal-content/FR/TXT/PDF/?uri=OJ:L_202402633" TargetMode="External"/><Relationship Id="rId34" Type="http://schemas.openxmlformats.org/officeDocument/2006/relationships/hyperlink" Target="https://eur-lex.europa.eu/legal-content/FR/TXT/PDF/?uri=OJ:L_202402694" TargetMode="External"/><Relationship Id="rId42" Type="http://schemas.openxmlformats.org/officeDocument/2006/relationships/hyperlink" Target="https://info.agriculture.gouv.fr/boagri/document_administratif-77ad53f6-84b1-4df5-8fd4-ea22eeaf32ff" TargetMode="External"/><Relationship Id="rId47" Type="http://schemas.openxmlformats.org/officeDocument/2006/relationships/hyperlink" Target="https://eur-lex.europa.eu/legal-content/FR/TXT/PDF/?uri=OJ:L_202402775" TargetMode="External"/><Relationship Id="rId50" Type="http://schemas.openxmlformats.org/officeDocument/2006/relationships/hyperlink" Target="https://eur-lex.europa.eu/legal-content/FR/TXT/PDF/?uri=OJ:L_202402660" TargetMode="External"/><Relationship Id="rId55" Type="http://schemas.openxmlformats.org/officeDocument/2006/relationships/hyperlink" Target="https://eur-lex.europa.eu/legal-content/FR/TXT/PDF/?uri=OJ:L_202402825" TargetMode="External"/><Relationship Id="rId63" Type="http://schemas.openxmlformats.org/officeDocument/2006/relationships/hyperlink" Target="https://eur-lex.europa.eu/legal-content/FR/TXT/PDF/?uri=OJ:L_202402598" TargetMode="External"/><Relationship Id="rId68" Type="http://schemas.openxmlformats.org/officeDocument/2006/relationships/header" Target="header3.xml"/><Relationship Id="rId7" Type="http://schemas.openxmlformats.org/officeDocument/2006/relationships/hyperlink" Target="https://eur-lex.europa.eu/legal-content/FR/TXT/PDF/?uri=OJ:L_202402597" TargetMode="External"/><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eur-lex.europa.eu/legal-content/FR/TXT/PDF/?uri=OJ:L_202402712" TargetMode="External"/><Relationship Id="rId29" Type="http://schemas.openxmlformats.org/officeDocument/2006/relationships/hyperlink" Target="https://www.plateforme-sca.fr/ndeg120-3-octobre-2024"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ur-lex.europa.eu/legal-content/FR/TXT/PDF/?uri=OJ:L_202402576" TargetMode="External"/><Relationship Id="rId24" Type="http://schemas.openxmlformats.org/officeDocument/2006/relationships/hyperlink" Target="https://eur-lex.europa.eu/legal-content/FR/TXT/PDF/?uri=OJ:C_202405710" TargetMode="External"/><Relationship Id="rId32" Type="http://schemas.openxmlformats.org/officeDocument/2006/relationships/hyperlink" Target="https://eur-lex.europa.eu/legal-content/FR/TXT/PDF/?uri=OJ:L_202490609" TargetMode="External"/><Relationship Id="rId37" Type="http://schemas.openxmlformats.org/officeDocument/2006/relationships/hyperlink" Target="https://eur-lex.europa.eu/legal-content/FR/TXT/PDF/?uri=OJ:L_202402618" TargetMode="External"/><Relationship Id="rId40" Type="http://schemas.openxmlformats.org/officeDocument/2006/relationships/hyperlink" Target="https://eur-lex.europa.eu/legal-content/FR/TXT/PDF/?uri=OJ:L_202490594" TargetMode="External"/><Relationship Id="rId45" Type="http://schemas.openxmlformats.org/officeDocument/2006/relationships/hyperlink" Target="https://www.anses.fr/fr/system/files/BIORISK2024SA0067.pdf" TargetMode="External"/><Relationship Id="rId53" Type="http://schemas.openxmlformats.org/officeDocument/2006/relationships/hyperlink" Target="https://info.agriculture.gouv.fr/boagri/instruction-2024-538" TargetMode="External"/><Relationship Id="rId58" Type="http://schemas.openxmlformats.org/officeDocument/2006/relationships/hyperlink" Target="https://www.legifrance.gouv.fr/jorf/id/JORFTEXT000050343159" TargetMode="External"/><Relationship Id="rId66"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eur-lex.europa.eu/legal-content/FR/TXT/PDF/?uri=OJ:L_202402750" TargetMode="External"/><Relationship Id="rId23" Type="http://schemas.openxmlformats.org/officeDocument/2006/relationships/hyperlink" Target="https://eur-lex.europa.eu/legal-content/FR/TXT/PDF/?uri=OJ:L_202402711" TargetMode="External"/><Relationship Id="rId28" Type="http://schemas.openxmlformats.org/officeDocument/2006/relationships/hyperlink" Target="https://be.anses.fr/sites/default/files/BE%20103%20page%20de%20garde%20interm%C3%A9diaire.pdf" TargetMode="External"/><Relationship Id="rId36" Type="http://schemas.openxmlformats.org/officeDocument/2006/relationships/hyperlink" Target="https://eur-lex.europa.eu/legal-content/FR/TXT/PDF/?uri=OJ:L_202402522" TargetMode="External"/><Relationship Id="rId49" Type="http://schemas.openxmlformats.org/officeDocument/2006/relationships/hyperlink" Target="https://info.agriculture.gouv.fr/boagri/document_administratif-5799947f-cdff-4e64-8721-f8240282cd8c" TargetMode="External"/><Relationship Id="rId57" Type="http://schemas.openxmlformats.org/officeDocument/2006/relationships/hyperlink" Target="https://eur-lex.europa.eu/legal-content/FR/TXT/PDF/?uri=OJ:L_202402681" TargetMode="External"/><Relationship Id="rId61" Type="http://schemas.openxmlformats.org/officeDocument/2006/relationships/hyperlink" Target="https://eur-lex.europa.eu/legal-content/FR/TXT/PDF/?uri=OJ:L_202402623" TargetMode="External"/><Relationship Id="rId10" Type="http://schemas.openxmlformats.org/officeDocument/2006/relationships/hyperlink" Target="https://www.conseil-etat.fr/fr/arianeweb/CE/decision/2024-10-23/456108" TargetMode="External"/><Relationship Id="rId19" Type="http://schemas.openxmlformats.org/officeDocument/2006/relationships/hyperlink" Target="https://eur-lex.europa.eu/legal-content/FR/TXT/PDF/?uri=OJ:L_202402612" TargetMode="External"/><Relationship Id="rId31" Type="http://schemas.openxmlformats.org/officeDocument/2006/relationships/hyperlink" Target="https://knowledge4policy.ec.europa.eu/sites/default/files/September%202024.pdf" TargetMode="External"/><Relationship Id="rId44" Type="http://schemas.openxmlformats.org/officeDocument/2006/relationships/hyperlink" Target="https://eur-lex.europa.eu/legal-content/FR/TXT/PDF/?uri=OJ:L_202402636" TargetMode="External"/><Relationship Id="rId52" Type="http://schemas.openxmlformats.org/officeDocument/2006/relationships/hyperlink" Target="https://eur-lex.europa.eu/legal-content/FR/TXT/PDF/?uri=OJ:L_202402778" TargetMode="External"/><Relationship Id="rId60" Type="http://schemas.openxmlformats.org/officeDocument/2006/relationships/hyperlink" Target="https://info.agriculture.gouv.fr/boagri/document_administratif-42c919c4-0543-4d0f-a38e-d0e3d0fc7e19" TargetMode="External"/><Relationship Id="rId65"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info.agriculture.gouv.fr/boagri/document_administratif-8c242ef2-7ae7-4bf6-82fa-8cb525dc9ff9" TargetMode="External"/><Relationship Id="rId14" Type="http://schemas.openxmlformats.org/officeDocument/2006/relationships/hyperlink" Target="https://eur-lex.europa.eu/legal-content/FR/TXT/PDF/?uri=OJ:L_202402679" TargetMode="External"/><Relationship Id="rId22" Type="http://schemas.openxmlformats.org/officeDocument/2006/relationships/hyperlink" Target="https://eur-lex.europa.eu/legal-content/FR/TXT/PDF/?uri=OJ:L_202402640" TargetMode="External"/><Relationship Id="rId27" Type="http://schemas.openxmlformats.org/officeDocument/2006/relationships/hyperlink" Target="https://eur-lex.europa.eu/legal-content/FR/TXT/PDF/?uri=OJ:C_202405729" TargetMode="External"/><Relationship Id="rId30" Type="http://schemas.openxmlformats.org/officeDocument/2006/relationships/hyperlink" Target="https://www.plateforme-sca.fr/ndeg121-20-octobre-2024" TargetMode="External"/><Relationship Id="rId35" Type="http://schemas.openxmlformats.org/officeDocument/2006/relationships/hyperlink" Target="https://eur-lex.europa.eu/legal-content/FR/TXT/PDF/?uri=OJ:L_202402622" TargetMode="External"/><Relationship Id="rId43" Type="http://schemas.openxmlformats.org/officeDocument/2006/relationships/hyperlink" Target="https://eur-lex.europa.eu/legal-content/FR/TXT/PDF/?uri=OJ:L_202402632" TargetMode="External"/><Relationship Id="rId48" Type="http://schemas.openxmlformats.org/officeDocument/2006/relationships/hyperlink" Target="https://eur-lex.europa.eu/legal-content/FR/TXT/PDF/?uri=OJ:L_202402611" TargetMode="External"/><Relationship Id="rId56" Type="http://schemas.openxmlformats.org/officeDocument/2006/relationships/hyperlink" Target="https://eur-lex.europa.eu/legal-content/FR/TXT/PDF/?uri=OJ:L_202402743" TargetMode="External"/><Relationship Id="rId64" Type="http://schemas.openxmlformats.org/officeDocument/2006/relationships/header" Target="header1.xml"/><Relationship Id="rId69" Type="http://schemas.openxmlformats.org/officeDocument/2006/relationships/footer" Target="footer3.xml"/><Relationship Id="rId8" Type="http://schemas.openxmlformats.org/officeDocument/2006/relationships/hyperlink" Target="https://www.legifrance.gouv.fr/jorf/id/JORFTEXT000050363088" TargetMode="External"/><Relationship Id="rId51" Type="http://schemas.openxmlformats.org/officeDocument/2006/relationships/hyperlink" Target="https://eur-lex.europa.eu/legal-content/FR/TXT/PDF/?uri=OJ:L_202402671" TargetMode="External"/><Relationship Id="rId3" Type="http://schemas.openxmlformats.org/officeDocument/2006/relationships/settings" Target="settings.xml"/><Relationship Id="rId12" Type="http://schemas.openxmlformats.org/officeDocument/2006/relationships/hyperlink" Target="https://eur-lex.europa.eu/legal-content/FR/TXT/PDF/?uri=OJ:L_202402587" TargetMode="External"/><Relationship Id="rId17" Type="http://schemas.openxmlformats.org/officeDocument/2006/relationships/hyperlink" Target="https://eur-lex.europa.eu/legal-content/FR/TXT/PDF/?uri=OJ:L_202402766" TargetMode="External"/><Relationship Id="rId25" Type="http://schemas.openxmlformats.org/officeDocument/2006/relationships/hyperlink" Target="https://eur-lex.europa.eu/legal-content/FR/TXT/PDF/?uri=OJ:C_202490084" TargetMode="External"/><Relationship Id="rId33" Type="http://schemas.openxmlformats.org/officeDocument/2006/relationships/hyperlink" Target="https://eur-lex.europa.eu/legal-content/FR/TXT/PDF/?uri=OJ:L_202402682" TargetMode="External"/><Relationship Id="rId38" Type="http://schemas.openxmlformats.org/officeDocument/2006/relationships/hyperlink" Target="https://eur-lex.europa.eu/legal-content/FR/TXT/PDF/?uri=OJ:L_202402628" TargetMode="External"/><Relationship Id="rId46" Type="http://schemas.openxmlformats.org/officeDocument/2006/relationships/hyperlink" Target="https://eur-lex.europa.eu/legal-content/FR/TXT/PDF/?uri=OJ:L_202402608" TargetMode="External"/><Relationship Id="rId59" Type="http://schemas.openxmlformats.org/officeDocument/2006/relationships/hyperlink" Target="https://info.agriculture.gouv.fr/boagri/instruction-2024-546" TargetMode="External"/><Relationship Id="rId67" Type="http://schemas.openxmlformats.org/officeDocument/2006/relationships/footer" Target="footer2.xml"/><Relationship Id="rId20" Type="http://schemas.openxmlformats.org/officeDocument/2006/relationships/hyperlink" Target="https://eur-lex.europa.eu/legal-content/FR/TXT/PDF/?uri=OJ:L_202402619" TargetMode="External"/><Relationship Id="rId41" Type="http://schemas.openxmlformats.org/officeDocument/2006/relationships/hyperlink" Target="https://info.agriculture.gouv.fr/boagri/instruction-2024-566" TargetMode="External"/><Relationship Id="rId54" Type="http://schemas.openxmlformats.org/officeDocument/2006/relationships/hyperlink" Target="https://eur-lex.europa.eu/legal-content/FR/TXT/PDF/?uri=OJ:L_202402656" TargetMode="External"/><Relationship Id="rId62" Type="http://schemas.openxmlformats.org/officeDocument/2006/relationships/hyperlink" Target="https://eur-lex.europa.eu/legal-content/FR/TXT/PDF/?uri=OJ:L_202402692" TargetMode="External"/><Relationship Id="rId7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3395</Words>
  <Characters>18676</Characters>
  <Application>Microsoft Office Word</Application>
  <DocSecurity>4</DocSecurity>
  <Lines>155</Lines>
  <Paragraphs>44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Sylvie LEMAITRE</cp:lastModifiedBy>
  <cp:revision>2</cp:revision>
  <dcterms:created xsi:type="dcterms:W3CDTF">2024-11-19T10:22:00Z</dcterms:created>
  <dcterms:modified xsi:type="dcterms:W3CDTF">2024-11-19T10:22:00Z</dcterms:modified>
</cp:coreProperties>
</file>