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80764" w14:textId="1A0FD07A" w:rsidR="0036141E" w:rsidRDefault="0036141E" w:rsidP="0036141E">
      <w:pPr>
        <w:spacing w:after="0" w:line="240" w:lineRule="auto"/>
        <w:ind w:left="567" w:right="566"/>
        <w:jc w:val="center"/>
        <w:rPr>
          <w:rFonts w:ascii="Trebuchet MS" w:hAnsi="Trebuchet MS" w:cs="Tahoma"/>
          <w:b/>
          <w:color w:val="EF671A"/>
          <w:sz w:val="28"/>
          <w:szCs w:val="28"/>
        </w:rPr>
      </w:pPr>
      <w:r>
        <w:rPr>
          <w:rFonts w:ascii="Trebuchet MS" w:hAnsi="Trebuchet MS" w:cs="Tahoma"/>
          <w:b/>
          <w:noProof/>
          <w:color w:val="EF671A"/>
          <w:sz w:val="28"/>
          <w:szCs w:val="28"/>
          <w:lang w:eastAsia="fr-FR"/>
        </w:rPr>
        <mc:AlternateContent>
          <mc:Choice Requires="wps">
            <w:drawing>
              <wp:anchor distT="0" distB="0" distL="114300" distR="114300" simplePos="0" relativeHeight="251659264" behindDoc="0" locked="0" layoutInCell="1" allowOverlap="1" wp14:anchorId="43DF5EBF" wp14:editId="28BB57CC">
                <wp:simplePos x="0" y="0"/>
                <wp:positionH relativeFrom="column">
                  <wp:posOffset>977265</wp:posOffset>
                </wp:positionH>
                <wp:positionV relativeFrom="paragraph">
                  <wp:posOffset>-718185</wp:posOffset>
                </wp:positionV>
                <wp:extent cx="5581650" cy="762000"/>
                <wp:effectExtent l="0" t="0" r="19050" b="19050"/>
                <wp:wrapNone/>
                <wp:docPr id="345504159" name="Zone de texte 2"/>
                <wp:cNvGraphicFramePr/>
                <a:graphic xmlns:a="http://schemas.openxmlformats.org/drawingml/2006/main">
                  <a:graphicData uri="http://schemas.microsoft.com/office/word/2010/wordprocessingShape">
                    <wps:wsp>
                      <wps:cNvSpPr txBox="1"/>
                      <wps:spPr>
                        <a:xfrm>
                          <a:off x="0" y="0"/>
                          <a:ext cx="5581650" cy="762000"/>
                        </a:xfrm>
                        <a:prstGeom prst="rect">
                          <a:avLst/>
                        </a:prstGeom>
                        <a:solidFill>
                          <a:schemeClr val="lt1"/>
                        </a:solidFill>
                        <a:ln w="6350">
                          <a:solidFill>
                            <a:prstClr val="black"/>
                          </a:solidFill>
                        </a:ln>
                      </wps:spPr>
                      <wps:txbx>
                        <w:txbxContent>
                          <w:p w14:paraId="7620CF4A" w14:textId="66DBE225" w:rsidR="005F3EA3" w:rsidRP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BULLETIN DE VEILLE REG</w:t>
                            </w:r>
                            <w:r w:rsidR="005D2D85">
                              <w:rPr>
                                <w:rFonts w:ascii="Tenorite" w:hAnsi="Tenorite" w:cs="Tahoma"/>
                                <w:b/>
                                <w:color w:val="EF671A"/>
                                <w:sz w:val="28"/>
                                <w:szCs w:val="28"/>
                              </w:rPr>
                              <w:t>LEMENTAIRE</w:t>
                            </w:r>
                          </w:p>
                          <w:p w14:paraId="6F27BB46" w14:textId="53849E94" w:rsidR="005F3EA3" w:rsidRP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Bulletin n°</w:t>
                            </w:r>
                            <w:r w:rsidR="004C13CD">
                              <w:rPr>
                                <w:rFonts w:ascii="Tenorite" w:hAnsi="Tenorite" w:cs="Tahoma"/>
                                <w:b/>
                                <w:color w:val="EF671A"/>
                                <w:sz w:val="28"/>
                                <w:szCs w:val="28"/>
                              </w:rPr>
                              <w:t>6</w:t>
                            </w:r>
                            <w:r w:rsidRPr="005F3EA3">
                              <w:rPr>
                                <w:rFonts w:ascii="Tenorite" w:hAnsi="Tenorite" w:cs="Tahoma"/>
                                <w:b/>
                                <w:color w:val="EF671A"/>
                                <w:sz w:val="28"/>
                                <w:szCs w:val="28"/>
                              </w:rPr>
                              <w:t xml:space="preserve"> du 1er </w:t>
                            </w:r>
                            <w:r w:rsidR="004C13CD">
                              <w:rPr>
                                <w:rFonts w:ascii="Tenorite" w:hAnsi="Tenorite" w:cs="Tahoma"/>
                                <w:b/>
                                <w:color w:val="EF671A"/>
                                <w:sz w:val="28"/>
                                <w:szCs w:val="28"/>
                              </w:rPr>
                              <w:t>nov</w:t>
                            </w:r>
                            <w:r w:rsidR="00BF4B08">
                              <w:rPr>
                                <w:rFonts w:ascii="Tenorite" w:hAnsi="Tenorite" w:cs="Tahoma"/>
                                <w:b/>
                                <w:color w:val="EF671A"/>
                                <w:sz w:val="28"/>
                                <w:szCs w:val="28"/>
                              </w:rPr>
                              <w:t xml:space="preserve">embre </w:t>
                            </w:r>
                            <w:r w:rsidR="004B6D49">
                              <w:rPr>
                                <w:rFonts w:ascii="Tenorite" w:hAnsi="Tenorite" w:cs="Tahoma"/>
                                <w:b/>
                                <w:color w:val="EF671A"/>
                                <w:sz w:val="28"/>
                                <w:szCs w:val="28"/>
                              </w:rPr>
                              <w:t xml:space="preserve">au 31 </w:t>
                            </w:r>
                            <w:r w:rsidR="004C13CD">
                              <w:rPr>
                                <w:rFonts w:ascii="Tenorite" w:hAnsi="Tenorite" w:cs="Tahoma"/>
                                <w:b/>
                                <w:color w:val="EF671A"/>
                                <w:sz w:val="28"/>
                                <w:szCs w:val="28"/>
                              </w:rPr>
                              <w:t>décembre</w:t>
                            </w:r>
                            <w:r w:rsidR="004B6D49">
                              <w:rPr>
                                <w:rFonts w:ascii="Tenorite" w:hAnsi="Tenorite" w:cs="Tahoma"/>
                                <w:b/>
                                <w:color w:val="EF671A"/>
                                <w:sz w:val="28"/>
                                <w:szCs w:val="28"/>
                              </w:rPr>
                              <w:t xml:space="preserve"> </w:t>
                            </w:r>
                            <w:r w:rsidRPr="005F3EA3">
                              <w:rPr>
                                <w:rFonts w:ascii="Tenorite" w:hAnsi="Tenorite" w:cs="Tahoma"/>
                                <w:b/>
                                <w:color w:val="EF671A"/>
                                <w:sz w:val="28"/>
                                <w:szCs w:val="28"/>
                              </w:rPr>
                              <w:t>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DF5EBF" id="_x0000_t202" coordsize="21600,21600" o:spt="202" path="m,l,21600r21600,l21600,xe">
                <v:stroke joinstyle="miter"/>
                <v:path gradientshapeok="t" o:connecttype="rect"/>
              </v:shapetype>
              <v:shape id="Zone de texte 2" o:spid="_x0000_s1026" type="#_x0000_t202" style="position:absolute;left:0;text-align:left;margin-left:76.95pt;margin-top:-56.55pt;width:439.5pt;height:6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" fillcolor="white [3201]" strokeweight=".5pt">
                <v:textbox>
                  <w:txbxContent>
                    <w:p w14:paraId="7620CF4A" w14:textId="66DBE225" w:rsidR="005F3EA3" w:rsidRP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BULLETIN DE VEILLE REG</w:t>
                      </w:r>
                      <w:r w:rsidR="005D2D85">
                        <w:rPr>
                          <w:rFonts w:ascii="Tenorite" w:hAnsi="Tenorite" w:cs="Tahoma"/>
                          <w:b/>
                          <w:color w:val="EF671A"/>
                          <w:sz w:val="28"/>
                          <w:szCs w:val="28"/>
                        </w:rPr>
                        <w:t>LEMENTAIRE</w:t>
                      </w:r>
                    </w:p>
                    <w:p w14:paraId="6F27BB46" w14:textId="53849E94" w:rsidR="005F3EA3" w:rsidRP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Bulletin n°</w:t>
                      </w:r>
                      <w:r w:rsidR="004C13CD">
                        <w:rPr>
                          <w:rFonts w:ascii="Tenorite" w:hAnsi="Tenorite" w:cs="Tahoma"/>
                          <w:b/>
                          <w:color w:val="EF671A"/>
                          <w:sz w:val="28"/>
                          <w:szCs w:val="28"/>
                        </w:rPr>
                        <w:t>6</w:t>
                      </w:r>
                      <w:r w:rsidRPr="005F3EA3">
                        <w:rPr>
                          <w:rFonts w:ascii="Tenorite" w:hAnsi="Tenorite" w:cs="Tahoma"/>
                          <w:b/>
                          <w:color w:val="EF671A"/>
                          <w:sz w:val="28"/>
                          <w:szCs w:val="28"/>
                        </w:rPr>
                        <w:t xml:space="preserve"> du 1er </w:t>
                      </w:r>
                      <w:r w:rsidR="004C13CD">
                        <w:rPr>
                          <w:rFonts w:ascii="Tenorite" w:hAnsi="Tenorite" w:cs="Tahoma"/>
                          <w:b/>
                          <w:color w:val="EF671A"/>
                          <w:sz w:val="28"/>
                          <w:szCs w:val="28"/>
                        </w:rPr>
                        <w:t>nov</w:t>
                      </w:r>
                      <w:r w:rsidR="00BF4B08">
                        <w:rPr>
                          <w:rFonts w:ascii="Tenorite" w:hAnsi="Tenorite" w:cs="Tahoma"/>
                          <w:b/>
                          <w:color w:val="EF671A"/>
                          <w:sz w:val="28"/>
                          <w:szCs w:val="28"/>
                        </w:rPr>
                        <w:t xml:space="preserve">embre </w:t>
                      </w:r>
                      <w:r w:rsidR="004B6D49">
                        <w:rPr>
                          <w:rFonts w:ascii="Tenorite" w:hAnsi="Tenorite" w:cs="Tahoma"/>
                          <w:b/>
                          <w:color w:val="EF671A"/>
                          <w:sz w:val="28"/>
                          <w:szCs w:val="28"/>
                        </w:rPr>
                        <w:t xml:space="preserve">au 31 </w:t>
                      </w:r>
                      <w:r w:rsidR="004C13CD">
                        <w:rPr>
                          <w:rFonts w:ascii="Tenorite" w:hAnsi="Tenorite" w:cs="Tahoma"/>
                          <w:b/>
                          <w:color w:val="EF671A"/>
                          <w:sz w:val="28"/>
                          <w:szCs w:val="28"/>
                        </w:rPr>
                        <w:t>décembre</w:t>
                      </w:r>
                      <w:r w:rsidR="004B6D49">
                        <w:rPr>
                          <w:rFonts w:ascii="Tenorite" w:hAnsi="Tenorite" w:cs="Tahoma"/>
                          <w:b/>
                          <w:color w:val="EF671A"/>
                          <w:sz w:val="28"/>
                          <w:szCs w:val="28"/>
                        </w:rPr>
                        <w:t xml:space="preserve"> </w:t>
                      </w:r>
                      <w:r w:rsidRPr="005F3EA3">
                        <w:rPr>
                          <w:rFonts w:ascii="Tenorite" w:hAnsi="Tenorite" w:cs="Tahoma"/>
                          <w:b/>
                          <w:color w:val="EF671A"/>
                          <w:sz w:val="28"/>
                          <w:szCs w:val="28"/>
                        </w:rPr>
                        <w:t>2024</w:t>
                      </w:r>
                    </w:p>
                  </w:txbxContent>
                </v:textbox>
              </v:shape>
            </w:pict>
          </mc:Fallback>
        </mc:AlternateContent>
      </w:r>
    </w:p>
    <w:p w14:paraId="6E6C5449" w14:textId="1C7F972F" w:rsidR="002B7CB6" w:rsidRDefault="002B7CB6" w:rsidP="0036141E">
      <w:pPr>
        <w:spacing w:after="0" w:line="240" w:lineRule="auto"/>
        <w:ind w:left="567" w:right="566"/>
        <w:jc w:val="center"/>
        <w:rPr>
          <w:rFonts w:ascii="Tenorite" w:hAnsi="Tenorite" w:cs="Tahoma"/>
          <w:b/>
          <w:color w:val="EF671A"/>
          <w:sz w:val="32"/>
          <w:szCs w:val="32"/>
          <w:u w:val="single"/>
        </w:rPr>
      </w:pPr>
      <w:r w:rsidRPr="005F3EA3">
        <w:rPr>
          <w:rFonts w:ascii="Tenorite" w:hAnsi="Tenorite" w:cs="Tahoma"/>
          <w:b/>
          <w:color w:val="EF671A"/>
          <w:sz w:val="32"/>
          <w:szCs w:val="32"/>
          <w:u w:val="single"/>
        </w:rPr>
        <w:t>Partie 1 : Règlementation générale</w:t>
      </w:r>
    </w:p>
    <w:p w14:paraId="1F5D9787" w14:textId="77777777" w:rsidR="0036141E" w:rsidRDefault="0036141E" w:rsidP="0036141E">
      <w:pPr>
        <w:spacing w:after="0" w:line="240" w:lineRule="auto"/>
        <w:ind w:left="567" w:right="566"/>
        <w:jc w:val="center"/>
        <w:rPr>
          <w:rFonts w:ascii="Tenorite" w:hAnsi="Tenorite" w:cs="Tahoma"/>
          <w:b/>
          <w:color w:val="EF671A"/>
          <w:sz w:val="32"/>
          <w:szCs w:val="32"/>
          <w:u w:val="single"/>
        </w:rPr>
      </w:pPr>
    </w:p>
    <w:p w14:paraId="400D8F30" w14:textId="77777777" w:rsidR="0036141E" w:rsidRPr="005F3EA3" w:rsidRDefault="0036141E" w:rsidP="0036141E">
      <w:pPr>
        <w:spacing w:after="0" w:line="240" w:lineRule="auto"/>
        <w:ind w:left="567" w:right="566"/>
        <w:jc w:val="center"/>
        <w:rPr>
          <w:rFonts w:ascii="Tenorite" w:hAnsi="Tenorite" w:cs="Tahoma"/>
          <w:b/>
          <w:color w:val="EF671A"/>
          <w:sz w:val="32"/>
          <w:szCs w:val="32"/>
          <w:u w:val="single"/>
        </w:rPr>
      </w:pPr>
    </w:p>
    <w:p w14:paraId="4CEA5421"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ADDITIFS, AUXILIAIRES, …</w:t>
      </w:r>
    </w:p>
    <w:p w14:paraId="6E942E82" w14:textId="77777777" w:rsidR="00C871A3" w:rsidRDefault="00C871A3" w:rsidP="0036141E">
      <w:pPr>
        <w:spacing w:after="0" w:line="240" w:lineRule="auto"/>
        <w:ind w:left="567" w:right="566" w:hanging="142"/>
        <w:rPr>
          <w:rFonts w:ascii="Tenorite" w:hAnsi="Tenorite"/>
          <w:color w:val="C45911" w:themeColor="accent2" w:themeShade="BF"/>
          <w:sz w:val="20"/>
        </w:rPr>
      </w:pPr>
      <w:r w:rsidRPr="005F3EA3">
        <w:rPr>
          <w:rFonts w:ascii="Tenorite" w:hAnsi="Tenorite"/>
          <w:color w:val="C45911" w:themeColor="accent2" w:themeShade="BF"/>
          <w:sz w:val="20"/>
        </w:rPr>
        <w:t>Additifs</w:t>
      </w:r>
    </w:p>
    <w:p w14:paraId="0489D511" w14:textId="77777777" w:rsidR="00513F68" w:rsidRPr="001260B8" w:rsidRDefault="00513F68" w:rsidP="0036141E">
      <w:pPr>
        <w:pStyle w:val="Textebrut"/>
        <w:ind w:left="567" w:right="566"/>
        <w:jc w:val="both"/>
        <w:rPr>
          <w:rFonts w:ascii="Tenorite" w:hAnsi="Tenorite"/>
          <w:sz w:val="20"/>
          <w:szCs w:val="20"/>
        </w:rPr>
      </w:pPr>
      <w:hyperlink r:id="rId7" w:history="1">
        <w:r w:rsidRPr="001260B8">
          <w:rPr>
            <w:rStyle w:val="Lienhypertexte"/>
            <w:rFonts w:ascii="Tenorite" w:hAnsi="Tenorite"/>
            <w:color w:val="auto"/>
            <w:sz w:val="20"/>
            <w:szCs w:val="20"/>
          </w:rPr>
          <w:t>Arrêté</w:t>
        </w:r>
      </w:hyperlink>
      <w:r w:rsidRPr="001260B8">
        <w:rPr>
          <w:rFonts w:ascii="Tenorite" w:hAnsi="Tenorite"/>
          <w:sz w:val="20"/>
          <w:szCs w:val="20"/>
        </w:rPr>
        <w:t xml:space="preserve"> du 16 décembre 2024 portant suspension de la mise sur le marché des denrées contenant </w:t>
      </w:r>
      <w:r w:rsidRPr="001260B8">
        <w:rPr>
          <w:rFonts w:ascii="Tenorite" w:hAnsi="Tenorite"/>
          <w:b/>
          <w:bCs/>
          <w:sz w:val="20"/>
          <w:szCs w:val="20"/>
        </w:rPr>
        <w:t>l'additif E 171</w:t>
      </w:r>
      <w:r w:rsidRPr="001260B8">
        <w:rPr>
          <w:rFonts w:ascii="Tenorite" w:hAnsi="Tenorite"/>
          <w:sz w:val="20"/>
          <w:szCs w:val="20"/>
        </w:rPr>
        <w:t xml:space="preserve"> (dioxyde de titane - TiO2) (JORF 20/12/2024)</w:t>
      </w:r>
    </w:p>
    <w:p w14:paraId="354A757C" w14:textId="77777777" w:rsidR="00513F68" w:rsidRPr="005F3EA3" w:rsidRDefault="00513F68" w:rsidP="0036141E">
      <w:pPr>
        <w:spacing w:after="0" w:line="240" w:lineRule="auto"/>
        <w:ind w:left="567" w:right="566" w:hanging="142"/>
        <w:rPr>
          <w:rFonts w:ascii="Tenorite" w:hAnsi="Tenorite"/>
          <w:color w:val="C45911" w:themeColor="accent2" w:themeShade="BF"/>
          <w:sz w:val="20"/>
        </w:rPr>
      </w:pPr>
    </w:p>
    <w:p w14:paraId="45C92BA9" w14:textId="77777777" w:rsidR="00C871A3" w:rsidRPr="005F3EA3" w:rsidRDefault="00C871A3" w:rsidP="0036141E">
      <w:pPr>
        <w:spacing w:after="0" w:line="240" w:lineRule="auto"/>
        <w:ind w:left="567" w:right="566" w:hanging="142"/>
        <w:rPr>
          <w:rFonts w:ascii="Tenorite" w:hAnsi="Tenorite"/>
          <w:color w:val="C45911" w:themeColor="accent2" w:themeShade="BF"/>
          <w:sz w:val="20"/>
        </w:rPr>
      </w:pPr>
      <w:r w:rsidRPr="005F3EA3">
        <w:rPr>
          <w:rFonts w:ascii="Tenorite" w:hAnsi="Tenorite"/>
          <w:color w:val="C45911" w:themeColor="accent2" w:themeShade="BF"/>
          <w:sz w:val="20"/>
        </w:rPr>
        <w:t>Arômes</w:t>
      </w:r>
    </w:p>
    <w:p w14:paraId="6ED22429" w14:textId="56E3FBD3" w:rsidR="0035466B" w:rsidRPr="001260B8" w:rsidRDefault="0035466B" w:rsidP="0036141E">
      <w:pPr>
        <w:shd w:val="clear" w:color="auto" w:fill="FFFFFF"/>
        <w:spacing w:after="0" w:line="240" w:lineRule="auto"/>
        <w:ind w:left="567" w:right="566"/>
        <w:jc w:val="both"/>
        <w:rPr>
          <w:rFonts w:ascii="Tenorite" w:hAnsi="Tenorite"/>
          <w:sz w:val="20"/>
          <w:szCs w:val="20"/>
        </w:rPr>
      </w:pPr>
      <w:hyperlink r:id="rId8"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(UE) 2024/2856 de la Commission du 12 novembre 2024 modifiant l’annexe I du règlement (CE) no 1334/2008 du Parlement européen et du Conseil en ce qui concerne la suppression de la substance </w:t>
      </w:r>
      <w:proofErr w:type="spellStart"/>
      <w:r w:rsidR="008C31CF" w:rsidRPr="001260B8">
        <w:rPr>
          <w:rFonts w:ascii="Tenorite" w:hAnsi="Tenorite"/>
          <w:sz w:val="20"/>
          <w:szCs w:val="20"/>
        </w:rPr>
        <w:t>aromatisante</w:t>
      </w:r>
      <w:proofErr w:type="spellEnd"/>
      <w:r w:rsidRPr="001260B8">
        <w:rPr>
          <w:rFonts w:ascii="Tenorite" w:hAnsi="Tenorite"/>
          <w:sz w:val="20"/>
          <w:szCs w:val="20"/>
        </w:rPr>
        <w:t xml:space="preserve"> benzène-1,2-diol (FL no 04.029) de la liste de l’Union (JOUE 13/11/2024)</w:t>
      </w:r>
    </w:p>
    <w:p w14:paraId="4AF01305" w14:textId="77777777" w:rsidR="0035466B" w:rsidRDefault="0035466B" w:rsidP="0036141E">
      <w:pPr>
        <w:spacing w:after="0" w:line="240" w:lineRule="auto"/>
        <w:ind w:left="567" w:right="566" w:hanging="142"/>
        <w:rPr>
          <w:rFonts w:ascii="Tenorite" w:hAnsi="Tenorite"/>
          <w:color w:val="C45911" w:themeColor="accent2" w:themeShade="BF"/>
          <w:sz w:val="20"/>
        </w:rPr>
      </w:pPr>
    </w:p>
    <w:p w14:paraId="19693B20"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295653EF" w14:textId="77777777" w:rsidR="007447D0" w:rsidRPr="001260B8" w:rsidRDefault="007447D0"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9" w:history="1">
        <w:r w:rsidRPr="001260B8">
          <w:rPr>
            <w:rFonts w:ascii="Tenorite" w:eastAsia="Times New Roman" w:hAnsi="Tenorite" w:cs="Times New Roman"/>
            <w:sz w:val="20"/>
            <w:szCs w:val="20"/>
            <w:u w:val="single"/>
            <w:lang w:eastAsia="fr-FR"/>
          </w:rPr>
          <w:t>DGAL/SDEIGIR/2024-617</w:t>
        </w:r>
      </w:hyperlink>
      <w:r w:rsidRPr="001260B8">
        <w:rPr>
          <w:rFonts w:ascii="Tenorite" w:eastAsia="Times New Roman" w:hAnsi="Tenorite" w:cs="Times New Roman"/>
          <w:sz w:val="20"/>
          <w:szCs w:val="20"/>
          <w:lang w:eastAsia="fr-FR"/>
        </w:rPr>
        <w:t> du 08-11-2024 - Dispositions générales relatives à la campagne 2025 du dispositif de plans de surveillance et de contrôle déployé par la DGAL (DGAL)</w:t>
      </w:r>
    </w:p>
    <w:p w14:paraId="6FDED183" w14:textId="77777777" w:rsidR="007447D0" w:rsidRPr="001260B8" w:rsidRDefault="007447D0" w:rsidP="0036141E">
      <w:pPr>
        <w:shd w:val="clear" w:color="auto" w:fill="FFFFFF"/>
        <w:spacing w:after="0" w:line="240" w:lineRule="auto"/>
        <w:ind w:left="567" w:right="566"/>
        <w:jc w:val="both"/>
        <w:rPr>
          <w:rStyle w:val="Lienhypertexte"/>
          <w:rFonts w:ascii="Tenorite" w:eastAsia="Times New Roman" w:hAnsi="Tenorite" w:cs="Times New Roman"/>
          <w:color w:val="auto"/>
          <w:sz w:val="20"/>
          <w:szCs w:val="20"/>
          <w:lang w:eastAsia="fr-FR"/>
        </w:rPr>
      </w:pPr>
    </w:p>
    <w:p w14:paraId="521878B0" w14:textId="77777777" w:rsidR="007447D0" w:rsidRPr="001260B8" w:rsidRDefault="007447D0" w:rsidP="0036141E">
      <w:pPr>
        <w:shd w:val="clear" w:color="auto" w:fill="FFFFFF"/>
        <w:spacing w:after="0" w:line="240" w:lineRule="auto"/>
        <w:ind w:left="567" w:right="566"/>
        <w:jc w:val="both"/>
        <w:rPr>
          <w:rFonts w:ascii="Tenorite" w:hAnsi="Tenorite"/>
          <w:sz w:val="20"/>
          <w:szCs w:val="20"/>
        </w:rPr>
      </w:pPr>
      <w:hyperlink r:id="rId10" w:history="1">
        <w:r w:rsidRPr="001260B8">
          <w:rPr>
            <w:rStyle w:val="Lienhypertexte"/>
            <w:rFonts w:ascii="Tenorite" w:hAnsi="Tenorite"/>
            <w:color w:val="auto"/>
            <w:sz w:val="20"/>
            <w:szCs w:val="20"/>
          </w:rPr>
          <w:t>Communication</w:t>
        </w:r>
      </w:hyperlink>
      <w:r w:rsidRPr="001260B8">
        <w:rPr>
          <w:rFonts w:ascii="Tenorite" w:hAnsi="Tenorite"/>
          <w:sz w:val="20"/>
          <w:szCs w:val="20"/>
        </w:rPr>
        <w:t xml:space="preserve"> de la Commission sur la mise en œuvre du règlement (UE) 2017/625 du Parlement européen et du Conseil (Règlement sur les </w:t>
      </w:r>
      <w:r w:rsidRPr="001260B8">
        <w:rPr>
          <w:rFonts w:ascii="Tenorite" w:hAnsi="Tenorite"/>
          <w:b/>
          <w:bCs/>
          <w:sz w:val="20"/>
          <w:szCs w:val="20"/>
        </w:rPr>
        <w:t>contrôles officiels</w:t>
      </w:r>
      <w:r w:rsidRPr="001260B8">
        <w:rPr>
          <w:rFonts w:ascii="Tenorite" w:hAnsi="Tenorite"/>
          <w:sz w:val="20"/>
          <w:szCs w:val="20"/>
        </w:rPr>
        <w:t>) (JOUE 08/11/2024)</w:t>
      </w:r>
    </w:p>
    <w:p w14:paraId="0FDAD993" w14:textId="77777777" w:rsidR="007447D0" w:rsidRPr="001260B8" w:rsidRDefault="007447D0" w:rsidP="0036141E">
      <w:pPr>
        <w:shd w:val="clear" w:color="auto" w:fill="FFFFFF"/>
        <w:spacing w:after="0" w:line="240" w:lineRule="auto"/>
        <w:ind w:left="567" w:right="566"/>
        <w:jc w:val="both"/>
        <w:rPr>
          <w:rFonts w:ascii="Tenorite" w:hAnsi="Tenorite"/>
          <w:sz w:val="20"/>
          <w:szCs w:val="20"/>
        </w:rPr>
      </w:pPr>
    </w:p>
    <w:p w14:paraId="59D98383" w14:textId="77777777" w:rsidR="007447D0" w:rsidRPr="001260B8" w:rsidRDefault="007447D0" w:rsidP="0036141E">
      <w:pPr>
        <w:shd w:val="clear" w:color="auto" w:fill="FFFFFF"/>
        <w:spacing w:after="0" w:line="240" w:lineRule="auto"/>
        <w:ind w:left="567" w:right="566"/>
        <w:jc w:val="both"/>
        <w:rPr>
          <w:rFonts w:ascii="Tenorite" w:hAnsi="Tenorite"/>
          <w:sz w:val="20"/>
          <w:szCs w:val="20"/>
        </w:rPr>
      </w:pPr>
      <w:hyperlink r:id="rId11" w:history="1">
        <w:r w:rsidRPr="001260B8">
          <w:rPr>
            <w:rStyle w:val="Lienhypertexte"/>
            <w:rFonts w:ascii="Tenorite" w:hAnsi="Tenorite"/>
            <w:color w:val="auto"/>
            <w:sz w:val="20"/>
            <w:szCs w:val="20"/>
          </w:rPr>
          <w:t>Rectificatif</w:t>
        </w:r>
      </w:hyperlink>
      <w:r w:rsidRPr="001260B8">
        <w:rPr>
          <w:rFonts w:ascii="Tenorite" w:hAnsi="Tenorite"/>
          <w:sz w:val="20"/>
          <w:szCs w:val="20"/>
        </w:rPr>
        <w:t xml:space="preserve"> à la communication de la Commission sur la mise en œuvre du règlement (UE) 2017/625 du Parlement européen et du Conseil (Règlement sur les contrôles officiels) (JOUE 18/11/2024)</w:t>
      </w:r>
    </w:p>
    <w:p w14:paraId="3B162AD5" w14:textId="77777777" w:rsidR="00E2309A" w:rsidRPr="001260B8" w:rsidRDefault="00E2309A" w:rsidP="0036141E">
      <w:pPr>
        <w:shd w:val="clear" w:color="auto" w:fill="FFFFFF"/>
        <w:spacing w:after="0" w:line="240" w:lineRule="auto"/>
        <w:ind w:left="567" w:right="566"/>
        <w:jc w:val="both"/>
        <w:rPr>
          <w:rFonts w:ascii="Tenorite" w:hAnsi="Tenorite"/>
          <w:sz w:val="20"/>
          <w:szCs w:val="20"/>
        </w:rPr>
      </w:pPr>
    </w:p>
    <w:p w14:paraId="7C7BBC44" w14:textId="77777777" w:rsidR="00E2309A" w:rsidRPr="001260B8" w:rsidRDefault="00E2309A"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12" w:history="1">
        <w:r w:rsidRPr="001260B8">
          <w:rPr>
            <w:rFonts w:ascii="Tenorite" w:eastAsia="Times New Roman" w:hAnsi="Tenorite" w:cs="Times New Roman"/>
            <w:sz w:val="20"/>
            <w:szCs w:val="20"/>
            <w:u w:val="single"/>
            <w:lang w:eastAsia="fr-FR"/>
          </w:rPr>
          <w:t>DGAL/SDEIGIR/2024-719</w:t>
        </w:r>
      </w:hyperlink>
      <w:r w:rsidRPr="001260B8">
        <w:rPr>
          <w:rFonts w:ascii="Tenorite" w:eastAsia="Times New Roman" w:hAnsi="Tenorite" w:cs="Times New Roman"/>
          <w:sz w:val="20"/>
          <w:szCs w:val="20"/>
          <w:lang w:eastAsia="fr-FR"/>
        </w:rPr>
        <w:t xml:space="preserve"> du 20-12-2024 - Dispositif PSPC : Plan de contrôle des denrées alimentaires traitées ou susceptibles d’être traités par </w:t>
      </w:r>
      <w:r w:rsidRPr="001260B8">
        <w:rPr>
          <w:rFonts w:ascii="Tenorite" w:eastAsia="Times New Roman" w:hAnsi="Tenorite" w:cs="Times New Roman"/>
          <w:b/>
          <w:bCs/>
          <w:sz w:val="20"/>
          <w:szCs w:val="20"/>
          <w:lang w:eastAsia="fr-FR"/>
        </w:rPr>
        <w:t>ionisation</w:t>
      </w:r>
      <w:r w:rsidRPr="001260B8">
        <w:rPr>
          <w:rFonts w:ascii="Tenorite" w:eastAsia="Times New Roman" w:hAnsi="Tenorite" w:cs="Times New Roman"/>
          <w:sz w:val="20"/>
          <w:szCs w:val="20"/>
          <w:lang w:eastAsia="fr-FR"/>
        </w:rPr>
        <w:t xml:space="preserve"> dans le cadre du dispositif PSPC pour l'année 2025 (DGAL)</w:t>
      </w:r>
    </w:p>
    <w:p w14:paraId="342E417A" w14:textId="77777777" w:rsidR="00E2309A" w:rsidRPr="001260B8" w:rsidRDefault="00E2309A" w:rsidP="0036141E">
      <w:pPr>
        <w:shd w:val="clear" w:color="auto" w:fill="FFFFFF"/>
        <w:spacing w:after="0" w:line="240" w:lineRule="auto"/>
        <w:ind w:left="567" w:right="566"/>
        <w:jc w:val="both"/>
        <w:rPr>
          <w:rStyle w:val="Lienhypertexte"/>
          <w:rFonts w:ascii="Tenorite" w:eastAsia="Times New Roman" w:hAnsi="Tenorite" w:cs="Times New Roman"/>
          <w:color w:val="auto"/>
          <w:sz w:val="20"/>
          <w:szCs w:val="20"/>
          <w:lang w:eastAsia="fr-FR"/>
        </w:rPr>
      </w:pPr>
    </w:p>
    <w:p w14:paraId="60ADFB6A" w14:textId="3CDCF6FB" w:rsidR="00BF4B08" w:rsidRPr="001260B8" w:rsidRDefault="00E2309A" w:rsidP="0036141E">
      <w:pPr>
        <w:shd w:val="clear" w:color="auto" w:fill="FFFFFF"/>
        <w:spacing w:after="0" w:line="240" w:lineRule="auto"/>
        <w:ind w:left="567" w:right="566"/>
        <w:jc w:val="both"/>
        <w:rPr>
          <w:rFonts w:ascii="Tenorite" w:eastAsia="Times New Roman" w:hAnsi="Tenorite" w:cs="Times New Roman"/>
          <w:sz w:val="20"/>
          <w:szCs w:val="20"/>
          <w:lang w:eastAsia="fr-FR"/>
        </w:rPr>
      </w:pPr>
      <w:hyperlink r:id="rId13" w:history="1">
        <w:r w:rsidRPr="001260B8">
          <w:rPr>
            <w:rStyle w:val="Lienhypertexte"/>
            <w:rFonts w:ascii="Tenorite" w:hAnsi="Tenorite"/>
            <w:color w:val="auto"/>
            <w:sz w:val="20"/>
            <w:szCs w:val="20"/>
            <w:shd w:val="clear" w:color="auto" w:fill="FFFFFF"/>
          </w:rPr>
          <w:t>Règlement</w:t>
        </w:r>
      </w:hyperlink>
      <w:r w:rsidRPr="001260B8">
        <w:rPr>
          <w:rFonts w:ascii="Tenorite" w:hAnsi="Tenorite"/>
          <w:sz w:val="20"/>
          <w:szCs w:val="20"/>
          <w:shd w:val="clear" w:color="auto" w:fill="FFFFFF"/>
        </w:rPr>
        <w:t xml:space="preserve"> d’exécution (UE) 2024/2959 de la Commission du 29 novembre 2024 désignant les </w:t>
      </w:r>
      <w:r w:rsidRPr="001260B8">
        <w:rPr>
          <w:rFonts w:ascii="Tenorite" w:hAnsi="Tenorite"/>
          <w:b/>
          <w:bCs/>
          <w:sz w:val="20"/>
          <w:szCs w:val="20"/>
          <w:shd w:val="clear" w:color="auto" w:fill="FFFFFF"/>
        </w:rPr>
        <w:t>laboratoires de référence</w:t>
      </w:r>
      <w:r w:rsidRPr="001260B8">
        <w:rPr>
          <w:rFonts w:ascii="Tenorite" w:hAnsi="Tenorite"/>
          <w:sz w:val="20"/>
          <w:szCs w:val="20"/>
          <w:shd w:val="clear" w:color="auto" w:fill="FFFFFF"/>
        </w:rPr>
        <w:t xml:space="preserve"> de l’Union européenne pour la santé publique concernant </w:t>
      </w:r>
      <w:r w:rsidRPr="001260B8">
        <w:rPr>
          <w:rFonts w:ascii="Tenorite" w:hAnsi="Tenorite"/>
          <w:b/>
          <w:bCs/>
          <w:sz w:val="20"/>
          <w:szCs w:val="20"/>
          <w:shd w:val="clear" w:color="auto" w:fill="FFFFFF"/>
        </w:rPr>
        <w:t>les bactéries d’origine alimentaire et hydrique, les helminthes et protozoaires</w:t>
      </w:r>
      <w:r w:rsidRPr="001260B8">
        <w:rPr>
          <w:rFonts w:ascii="Tenorite" w:hAnsi="Tenorite"/>
          <w:sz w:val="20"/>
          <w:szCs w:val="20"/>
          <w:shd w:val="clear" w:color="auto" w:fill="FFFFFF"/>
        </w:rPr>
        <w:t xml:space="preserve"> d’origine alimentaire, hydrique et à transmission vectorielle, et les virus d’origine alimentaire et hydrique (JOUE 02/12/2024)</w:t>
      </w:r>
    </w:p>
    <w:p w14:paraId="750E0207" w14:textId="77777777" w:rsidR="002B7CB6" w:rsidRPr="005F3EA3" w:rsidRDefault="002B7CB6" w:rsidP="0036141E">
      <w:pPr>
        <w:spacing w:after="0" w:line="240" w:lineRule="auto"/>
        <w:ind w:left="567" w:right="566" w:hanging="142"/>
        <w:rPr>
          <w:rFonts w:ascii="Tenorite" w:eastAsia="MS Gothic" w:hAnsi="Tenorite" w:cs="Segoe UI Symbol"/>
          <w:b/>
          <w:sz w:val="28"/>
        </w:rPr>
      </w:pPr>
    </w:p>
    <w:p w14:paraId="3570CAB8"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6D8EDB32" w14:textId="77777777" w:rsidR="00C340F1" w:rsidRPr="001260B8" w:rsidRDefault="00C340F1"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Note de service </w:t>
      </w:r>
      <w:hyperlink r:id="rId14" w:history="1">
        <w:r w:rsidRPr="001260B8">
          <w:rPr>
            <w:rFonts w:ascii="Tenorite" w:eastAsia="Times New Roman" w:hAnsi="Tenorite" w:cs="Times New Roman"/>
            <w:sz w:val="20"/>
            <w:szCs w:val="20"/>
            <w:u w:val="single"/>
            <w:lang w:eastAsia="fr-FR"/>
          </w:rPr>
          <w:t>DGAL/SDSPV/2024-605</w:t>
        </w:r>
      </w:hyperlink>
      <w:r w:rsidRPr="001260B8">
        <w:rPr>
          <w:rFonts w:ascii="Tenorite" w:eastAsia="Times New Roman" w:hAnsi="Tenorite" w:cs="Times New Roman"/>
          <w:sz w:val="20"/>
          <w:szCs w:val="20"/>
          <w:lang w:eastAsia="fr-FR"/>
        </w:rPr>
        <w:t> du 23-10-2024 - Inscription au Bulletin officiel du ministère de l'agriculture et de la souveraineté alimentaire des moyens permettant de diminuer la dérive de pulvérisation des produits phytopharmaceutiques. (DGAL)</w:t>
      </w:r>
    </w:p>
    <w:p w14:paraId="231FBDBC" w14:textId="77777777" w:rsidR="0035466B" w:rsidRPr="001260B8" w:rsidRDefault="0035466B" w:rsidP="0036141E">
      <w:pPr>
        <w:shd w:val="clear" w:color="auto" w:fill="FFFFFF"/>
        <w:spacing w:after="0" w:line="240" w:lineRule="auto"/>
        <w:ind w:left="567" w:right="566"/>
        <w:jc w:val="both"/>
        <w:rPr>
          <w:rFonts w:ascii="Tenorite" w:eastAsia="Times New Roman" w:hAnsi="Tenorite" w:cs="Times New Roman"/>
          <w:sz w:val="20"/>
          <w:szCs w:val="20"/>
          <w:lang w:eastAsia="fr-FR"/>
        </w:rPr>
      </w:pPr>
    </w:p>
    <w:p w14:paraId="1C7BF099" w14:textId="77777777" w:rsidR="00C340F1" w:rsidRPr="001260B8" w:rsidRDefault="00C340F1"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Note de service </w:t>
      </w:r>
      <w:hyperlink r:id="rId15" w:history="1">
        <w:r w:rsidRPr="001260B8">
          <w:rPr>
            <w:rStyle w:val="Lienhypertexte"/>
            <w:rFonts w:ascii="Tenorite" w:eastAsia="Times New Roman" w:hAnsi="Tenorite" w:cs="Times New Roman"/>
            <w:color w:val="auto"/>
            <w:sz w:val="20"/>
            <w:szCs w:val="20"/>
            <w:lang w:eastAsia="fr-FR"/>
          </w:rPr>
          <w:t>DGAL/SDSPV/2024-606</w:t>
        </w:r>
      </w:hyperlink>
      <w:r w:rsidRPr="001260B8">
        <w:rPr>
          <w:rFonts w:ascii="Tenorite" w:eastAsia="Times New Roman" w:hAnsi="Tenorite" w:cs="Times New Roman"/>
          <w:sz w:val="20"/>
          <w:szCs w:val="20"/>
          <w:lang w:eastAsia="fr-FR"/>
        </w:rPr>
        <w:t> du 30-10-2024 - Liste des produits phytopharmaceutiques de biocontrôle, au titre des articles L.253-5 et L.253-7 du code rural et de la pêche maritime.(DGAL)</w:t>
      </w:r>
    </w:p>
    <w:p w14:paraId="122427FD" w14:textId="77777777" w:rsidR="0035466B" w:rsidRPr="001260B8" w:rsidRDefault="0035466B" w:rsidP="0036141E">
      <w:pPr>
        <w:shd w:val="clear" w:color="auto" w:fill="FFFFFF"/>
        <w:spacing w:after="0" w:line="240" w:lineRule="auto"/>
        <w:ind w:left="567" w:right="566"/>
        <w:jc w:val="both"/>
        <w:rPr>
          <w:rStyle w:val="Lienhypertexte"/>
          <w:rFonts w:ascii="Tenorite" w:eastAsia="Times New Roman" w:hAnsi="Tenorite" w:cs="Times New Roman"/>
          <w:color w:val="auto"/>
          <w:sz w:val="20"/>
          <w:szCs w:val="20"/>
          <w:lang w:eastAsia="fr-FR"/>
        </w:rPr>
      </w:pPr>
    </w:p>
    <w:p w14:paraId="59C9D28E" w14:textId="77777777" w:rsidR="00C340F1" w:rsidRPr="001260B8" w:rsidRDefault="00C340F1" w:rsidP="0036141E">
      <w:pPr>
        <w:shd w:val="clear" w:color="auto" w:fill="FFFFFF"/>
        <w:spacing w:after="0" w:line="240" w:lineRule="auto"/>
        <w:ind w:left="567" w:right="566"/>
        <w:jc w:val="both"/>
        <w:rPr>
          <w:rFonts w:ascii="Tenorite" w:hAnsi="Tenorite"/>
          <w:sz w:val="20"/>
          <w:szCs w:val="20"/>
        </w:rPr>
      </w:pPr>
      <w:hyperlink r:id="rId16"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d’exécution (UE) 2024/2863 de la Commission du 12 novembre 2024 octroyant une autorisation de l’Union pour la famille de produits biocides dénommée </w:t>
      </w:r>
      <w:proofErr w:type="spellStart"/>
      <w:r w:rsidRPr="001260B8">
        <w:rPr>
          <w:rFonts w:ascii="Tenorite" w:hAnsi="Tenorite"/>
          <w:sz w:val="20"/>
          <w:szCs w:val="20"/>
        </w:rPr>
        <w:t>Teat</w:t>
      </w:r>
      <w:proofErr w:type="spellEnd"/>
      <w:r w:rsidRPr="001260B8">
        <w:rPr>
          <w:rFonts w:ascii="Tenorite" w:hAnsi="Tenorite"/>
          <w:sz w:val="20"/>
          <w:szCs w:val="20"/>
        </w:rPr>
        <w:t xml:space="preserve"> </w:t>
      </w:r>
      <w:proofErr w:type="spellStart"/>
      <w:r w:rsidRPr="001260B8">
        <w:rPr>
          <w:rFonts w:ascii="Tenorite" w:hAnsi="Tenorite"/>
          <w:sz w:val="20"/>
          <w:szCs w:val="20"/>
        </w:rPr>
        <w:t>disinfectants</w:t>
      </w:r>
      <w:proofErr w:type="spellEnd"/>
      <w:r w:rsidRPr="001260B8">
        <w:rPr>
          <w:rFonts w:ascii="Tenorite" w:hAnsi="Tenorite"/>
          <w:sz w:val="20"/>
          <w:szCs w:val="20"/>
        </w:rPr>
        <w:t xml:space="preserve"> L-(+)-</w:t>
      </w:r>
      <w:proofErr w:type="spellStart"/>
      <w:r w:rsidRPr="001260B8">
        <w:rPr>
          <w:rFonts w:ascii="Tenorite" w:hAnsi="Tenorite"/>
          <w:sz w:val="20"/>
          <w:szCs w:val="20"/>
        </w:rPr>
        <w:t>lactic</w:t>
      </w:r>
      <w:proofErr w:type="spellEnd"/>
      <w:r w:rsidRPr="001260B8">
        <w:rPr>
          <w:rFonts w:ascii="Tenorite" w:hAnsi="Tenorite"/>
          <w:sz w:val="20"/>
          <w:szCs w:val="20"/>
        </w:rPr>
        <w:t xml:space="preserve"> </w:t>
      </w:r>
      <w:proofErr w:type="spellStart"/>
      <w:r w:rsidRPr="001260B8">
        <w:rPr>
          <w:rFonts w:ascii="Tenorite" w:hAnsi="Tenorite"/>
          <w:sz w:val="20"/>
          <w:szCs w:val="20"/>
        </w:rPr>
        <w:t>acid</w:t>
      </w:r>
      <w:proofErr w:type="spellEnd"/>
      <w:r w:rsidRPr="001260B8">
        <w:rPr>
          <w:rFonts w:ascii="Tenorite" w:hAnsi="Tenorite"/>
          <w:sz w:val="20"/>
          <w:szCs w:val="20"/>
        </w:rPr>
        <w:t xml:space="preserve"> </w:t>
      </w:r>
      <w:proofErr w:type="spellStart"/>
      <w:r w:rsidRPr="001260B8">
        <w:rPr>
          <w:rFonts w:ascii="Tenorite" w:hAnsi="Tenorite"/>
          <w:sz w:val="20"/>
          <w:szCs w:val="20"/>
        </w:rPr>
        <w:t>based</w:t>
      </w:r>
      <w:proofErr w:type="spellEnd"/>
      <w:r w:rsidRPr="001260B8">
        <w:rPr>
          <w:rFonts w:ascii="Tenorite" w:hAnsi="Tenorite"/>
          <w:sz w:val="20"/>
          <w:szCs w:val="20"/>
        </w:rPr>
        <w:t xml:space="preserve"> </w:t>
      </w:r>
      <w:proofErr w:type="spellStart"/>
      <w:r w:rsidRPr="001260B8">
        <w:rPr>
          <w:rFonts w:ascii="Tenorite" w:hAnsi="Tenorite"/>
          <w:sz w:val="20"/>
          <w:szCs w:val="20"/>
        </w:rPr>
        <w:t>biocidal</w:t>
      </w:r>
      <w:proofErr w:type="spellEnd"/>
      <w:r w:rsidRPr="001260B8">
        <w:rPr>
          <w:rFonts w:ascii="Tenorite" w:hAnsi="Tenorite"/>
          <w:sz w:val="20"/>
          <w:szCs w:val="20"/>
        </w:rPr>
        <w:t xml:space="preserve"> </w:t>
      </w:r>
      <w:proofErr w:type="spellStart"/>
      <w:r w:rsidRPr="001260B8">
        <w:rPr>
          <w:rFonts w:ascii="Tenorite" w:hAnsi="Tenorite"/>
          <w:sz w:val="20"/>
          <w:szCs w:val="20"/>
        </w:rPr>
        <w:t>product</w:t>
      </w:r>
      <w:proofErr w:type="spellEnd"/>
      <w:r w:rsidRPr="001260B8">
        <w:rPr>
          <w:rFonts w:ascii="Tenorite" w:hAnsi="Tenorite"/>
          <w:sz w:val="20"/>
          <w:szCs w:val="20"/>
        </w:rPr>
        <w:t xml:space="preserve"> </w:t>
      </w:r>
      <w:proofErr w:type="spellStart"/>
      <w:r w:rsidRPr="001260B8">
        <w:rPr>
          <w:rFonts w:ascii="Tenorite" w:hAnsi="Tenorite"/>
          <w:sz w:val="20"/>
          <w:szCs w:val="20"/>
        </w:rPr>
        <w:t>family</w:t>
      </w:r>
      <w:proofErr w:type="spellEnd"/>
      <w:r w:rsidRPr="001260B8">
        <w:rPr>
          <w:rFonts w:ascii="Tenorite" w:hAnsi="Tenorite"/>
          <w:sz w:val="20"/>
          <w:szCs w:val="20"/>
        </w:rPr>
        <w:t xml:space="preserve"> of </w:t>
      </w:r>
      <w:proofErr w:type="spellStart"/>
      <w:r w:rsidRPr="001260B8">
        <w:rPr>
          <w:rFonts w:ascii="Tenorite" w:hAnsi="Tenorite"/>
          <w:sz w:val="20"/>
          <w:szCs w:val="20"/>
        </w:rPr>
        <w:t>Novadan</w:t>
      </w:r>
      <w:proofErr w:type="spellEnd"/>
      <w:r w:rsidRPr="001260B8">
        <w:rPr>
          <w:rFonts w:ascii="Tenorite" w:hAnsi="Tenorite"/>
          <w:sz w:val="20"/>
          <w:szCs w:val="20"/>
        </w:rPr>
        <w:t xml:space="preserve"> conformément au règlement (UE) no 528/2012 du Parlement européen et du Conseil (JOUE 13/11/2024)</w:t>
      </w:r>
    </w:p>
    <w:p w14:paraId="0A3655E8" w14:textId="77777777" w:rsidR="0035466B" w:rsidRPr="001260B8" w:rsidRDefault="0035466B" w:rsidP="0036141E">
      <w:pPr>
        <w:shd w:val="clear" w:color="auto" w:fill="FFFFFF"/>
        <w:spacing w:after="0" w:line="240" w:lineRule="auto"/>
        <w:ind w:left="567" w:right="566"/>
        <w:jc w:val="both"/>
        <w:rPr>
          <w:rFonts w:ascii="Tenorite" w:hAnsi="Tenorite"/>
          <w:sz w:val="20"/>
          <w:szCs w:val="20"/>
        </w:rPr>
      </w:pPr>
    </w:p>
    <w:p w14:paraId="2E9F7B89" w14:textId="77777777" w:rsidR="00C340F1" w:rsidRPr="001260B8" w:rsidRDefault="00C340F1" w:rsidP="0036141E">
      <w:pPr>
        <w:shd w:val="clear" w:color="auto" w:fill="FFFFFF"/>
        <w:spacing w:after="0" w:line="240" w:lineRule="auto"/>
        <w:ind w:left="567" w:right="566"/>
        <w:jc w:val="both"/>
        <w:rPr>
          <w:rFonts w:ascii="Tenorite" w:hAnsi="Tenorite"/>
          <w:sz w:val="20"/>
          <w:szCs w:val="20"/>
        </w:rPr>
      </w:pPr>
      <w:hyperlink r:id="rId17" w:history="1">
        <w:r w:rsidRPr="001260B8">
          <w:rPr>
            <w:rStyle w:val="Lienhypertexte"/>
            <w:rFonts w:ascii="Tenorite" w:hAnsi="Tenorite"/>
            <w:color w:val="auto"/>
            <w:sz w:val="20"/>
            <w:szCs w:val="20"/>
          </w:rPr>
          <w:t>Rectificatif</w:t>
        </w:r>
      </w:hyperlink>
      <w:r w:rsidRPr="001260B8">
        <w:rPr>
          <w:rFonts w:ascii="Tenorite" w:hAnsi="Tenorite"/>
          <w:sz w:val="20"/>
          <w:szCs w:val="20"/>
        </w:rPr>
        <w:t xml:space="preserve"> au règlement délégué (UE) 2023/707 de la Commission du 19 décembre 2022 modifiant le règlement (CE) no 1272/2008 en ce qui concerne les classes de danger et les critères de classification, d’étiquetage et d’emballage des substances et des mélanges (JOUE 18/11/2024)</w:t>
      </w:r>
    </w:p>
    <w:p w14:paraId="113FD5E3" w14:textId="77777777" w:rsidR="0035466B" w:rsidRPr="001260B8" w:rsidRDefault="0035466B" w:rsidP="0036141E">
      <w:pPr>
        <w:shd w:val="clear" w:color="auto" w:fill="FFFFFF"/>
        <w:spacing w:after="0" w:line="240" w:lineRule="auto"/>
        <w:ind w:left="567" w:right="566"/>
        <w:jc w:val="both"/>
        <w:rPr>
          <w:rFonts w:ascii="Tenorite" w:hAnsi="Tenorite"/>
          <w:sz w:val="20"/>
          <w:szCs w:val="20"/>
        </w:rPr>
      </w:pPr>
    </w:p>
    <w:p w14:paraId="37530A77" w14:textId="77777777" w:rsidR="00C340F1" w:rsidRPr="001260B8" w:rsidRDefault="00C340F1" w:rsidP="0036141E">
      <w:pPr>
        <w:shd w:val="clear" w:color="auto" w:fill="FFFFFF"/>
        <w:spacing w:after="0" w:line="240" w:lineRule="auto"/>
        <w:ind w:left="567" w:right="566"/>
        <w:jc w:val="both"/>
        <w:rPr>
          <w:rFonts w:ascii="Tenorite" w:hAnsi="Tenorite"/>
          <w:sz w:val="20"/>
          <w:szCs w:val="20"/>
        </w:rPr>
      </w:pPr>
      <w:hyperlink r:id="rId18"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(UE) 2024/2865 du Parlement européen et du Conseil du 23 octobre 2024 modifiant le règlement (CE) n° 1272/2008 relatif à la classification, à l’étiquetage et à l’emballage des substances et des mélanges (JOUE 20/11/2024)</w:t>
      </w:r>
    </w:p>
    <w:p w14:paraId="11FC963B" w14:textId="77777777" w:rsidR="0035466B" w:rsidRPr="001260B8" w:rsidRDefault="00C340F1" w:rsidP="0036141E">
      <w:pPr>
        <w:shd w:val="clear" w:color="auto" w:fill="FFFFFF"/>
        <w:spacing w:after="0" w:line="240" w:lineRule="auto"/>
        <w:ind w:left="567" w:right="566"/>
        <w:jc w:val="both"/>
        <w:rPr>
          <w:rFonts w:ascii="Tenorite" w:hAnsi="Tenorite"/>
          <w:sz w:val="20"/>
          <w:szCs w:val="20"/>
        </w:rPr>
      </w:pPr>
      <w:hyperlink r:id="rId19"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d’exécution (UE) 2024/2777 de la Commission du 31 octobre 2024 portant sur le non-renouvellement de l’approbation de la substance active </w:t>
      </w:r>
      <w:proofErr w:type="spellStart"/>
      <w:r w:rsidRPr="001260B8">
        <w:rPr>
          <w:rFonts w:ascii="Tenorite" w:hAnsi="Tenorite"/>
          <w:sz w:val="20"/>
          <w:szCs w:val="20"/>
        </w:rPr>
        <w:t>tritosulfuron</w:t>
      </w:r>
      <w:proofErr w:type="spellEnd"/>
      <w:r w:rsidRPr="001260B8">
        <w:rPr>
          <w:rFonts w:ascii="Tenorite" w:hAnsi="Tenorite"/>
          <w:sz w:val="20"/>
          <w:szCs w:val="20"/>
        </w:rPr>
        <w:t xml:space="preserve"> conformément au règlement (CE) no 1107/2009 du Parlement européen et du Conseil, et modifiant le règlement d’exécution (UE) no 540/2011 de la Commission (JOUE 04/11/2024)</w:t>
      </w:r>
    </w:p>
    <w:p w14:paraId="07C54CF4" w14:textId="32FDB45A" w:rsidR="00C340F1" w:rsidRPr="001260B8" w:rsidRDefault="00C340F1" w:rsidP="0036141E">
      <w:pPr>
        <w:shd w:val="clear" w:color="auto" w:fill="FFFFFF"/>
        <w:spacing w:after="0" w:line="240" w:lineRule="auto"/>
        <w:ind w:left="567" w:right="566"/>
        <w:jc w:val="both"/>
        <w:rPr>
          <w:rFonts w:ascii="Tenorite" w:hAnsi="Tenorite"/>
          <w:sz w:val="20"/>
          <w:szCs w:val="20"/>
        </w:rPr>
      </w:pPr>
      <w:hyperlink r:id="rId20"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d’exécution (UE) 2024/2781 de la Commission du 31 octobre 2024 modifiant le règlement d’exécution (UE) no 540/2011 en ce qui concerne la prolongation des périodes d’approbation des substances actives </w:t>
      </w:r>
      <w:proofErr w:type="spellStart"/>
      <w:r w:rsidRPr="001260B8">
        <w:rPr>
          <w:rFonts w:ascii="Tenorite" w:hAnsi="Tenorite"/>
          <w:sz w:val="20"/>
          <w:szCs w:val="20"/>
        </w:rPr>
        <w:t>aminopyralide</w:t>
      </w:r>
      <w:proofErr w:type="spellEnd"/>
      <w:r w:rsidRPr="001260B8">
        <w:rPr>
          <w:rFonts w:ascii="Tenorite" w:hAnsi="Tenorite"/>
          <w:sz w:val="20"/>
          <w:szCs w:val="20"/>
        </w:rPr>
        <w:t xml:space="preserve">, azoxystrobine, Candida </w:t>
      </w:r>
      <w:proofErr w:type="spellStart"/>
      <w:r w:rsidRPr="001260B8">
        <w:rPr>
          <w:rFonts w:ascii="Tenorite" w:hAnsi="Tenorite"/>
          <w:sz w:val="20"/>
          <w:szCs w:val="20"/>
        </w:rPr>
        <w:t>oleophila</w:t>
      </w:r>
      <w:proofErr w:type="spellEnd"/>
      <w:r w:rsidRPr="001260B8">
        <w:rPr>
          <w:rFonts w:ascii="Tenorite" w:hAnsi="Tenorite"/>
          <w:sz w:val="20"/>
          <w:szCs w:val="20"/>
        </w:rPr>
        <w:t xml:space="preserve"> souche O, </w:t>
      </w:r>
      <w:proofErr w:type="spellStart"/>
      <w:r w:rsidRPr="001260B8">
        <w:rPr>
          <w:rFonts w:ascii="Tenorite" w:hAnsi="Tenorite"/>
          <w:sz w:val="20"/>
          <w:szCs w:val="20"/>
        </w:rPr>
        <w:t>chlorantraniliprole</w:t>
      </w:r>
      <w:proofErr w:type="spellEnd"/>
      <w:r w:rsidRPr="001260B8">
        <w:rPr>
          <w:rFonts w:ascii="Tenorite" w:hAnsi="Tenorite"/>
          <w:sz w:val="20"/>
          <w:szCs w:val="20"/>
        </w:rPr>
        <w:t xml:space="preserve">, fluroxypyr, hydroxy-8-quinoléine, imazalil, krésoxim-méthyl, métobromuron, oxyfluorfène, </w:t>
      </w:r>
      <w:proofErr w:type="spellStart"/>
      <w:r w:rsidRPr="001260B8">
        <w:rPr>
          <w:rFonts w:ascii="Tenorite" w:hAnsi="Tenorite"/>
          <w:sz w:val="20"/>
          <w:szCs w:val="20"/>
        </w:rPr>
        <w:t>Paecilomyces</w:t>
      </w:r>
      <w:proofErr w:type="spellEnd"/>
      <w:r w:rsidRPr="001260B8">
        <w:rPr>
          <w:rFonts w:ascii="Tenorite" w:hAnsi="Tenorite"/>
          <w:sz w:val="20"/>
          <w:szCs w:val="20"/>
        </w:rPr>
        <w:t xml:space="preserve"> </w:t>
      </w:r>
      <w:proofErr w:type="spellStart"/>
      <w:r w:rsidRPr="001260B8">
        <w:rPr>
          <w:rFonts w:ascii="Tenorite" w:hAnsi="Tenorite"/>
          <w:sz w:val="20"/>
          <w:szCs w:val="20"/>
        </w:rPr>
        <w:t>fumosoroseus</w:t>
      </w:r>
      <w:proofErr w:type="spellEnd"/>
      <w:r w:rsidRPr="001260B8">
        <w:rPr>
          <w:rFonts w:ascii="Tenorite" w:hAnsi="Tenorite"/>
          <w:sz w:val="20"/>
          <w:szCs w:val="20"/>
        </w:rPr>
        <w:t xml:space="preserve"> souche FE 9901, téfluthrine et terbuthylazine (JOUE 04/11/2024)</w:t>
      </w:r>
    </w:p>
    <w:p w14:paraId="28F05FEC" w14:textId="77777777" w:rsidR="0035466B" w:rsidRPr="001260B8" w:rsidRDefault="0035466B" w:rsidP="0036141E">
      <w:pPr>
        <w:shd w:val="clear" w:color="auto" w:fill="FFFFFF"/>
        <w:spacing w:after="0" w:line="240" w:lineRule="auto"/>
        <w:ind w:left="567" w:right="566"/>
        <w:jc w:val="both"/>
        <w:rPr>
          <w:rFonts w:ascii="Tenorite" w:hAnsi="Tenorite"/>
          <w:sz w:val="20"/>
          <w:szCs w:val="20"/>
        </w:rPr>
      </w:pPr>
    </w:p>
    <w:p w14:paraId="3725D853" w14:textId="77777777" w:rsidR="00C340F1" w:rsidRPr="001260B8" w:rsidRDefault="00C340F1" w:rsidP="0036141E">
      <w:pPr>
        <w:shd w:val="clear" w:color="auto" w:fill="FFFFFF"/>
        <w:spacing w:after="0" w:line="240" w:lineRule="auto"/>
        <w:ind w:left="567" w:right="566"/>
        <w:jc w:val="both"/>
        <w:rPr>
          <w:rFonts w:ascii="Tenorite" w:hAnsi="Tenorite"/>
          <w:sz w:val="20"/>
          <w:szCs w:val="20"/>
        </w:rPr>
      </w:pPr>
      <w:hyperlink r:id="rId21"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d’exécution (UE) 2024/2806 de la Commission du 31 octobre 2024 portant sur le non-renouvellement de l’approbation de la substance active métribuzine conformément au règlement (CE) no 1107/2009 du Parlement européen et du Conseil, et modifiant le règlement d’exécution (UE) no 540/2011 de la Commission et le règlement d’exécution (UE) 2015/408 de la Commission (JOUE 04/11/2024)</w:t>
      </w:r>
    </w:p>
    <w:p w14:paraId="1BDD170C" w14:textId="77777777" w:rsidR="0035466B" w:rsidRPr="001260B8" w:rsidRDefault="0035466B" w:rsidP="0036141E">
      <w:pPr>
        <w:shd w:val="clear" w:color="auto" w:fill="FFFFFF"/>
        <w:spacing w:after="0" w:line="240" w:lineRule="auto"/>
        <w:ind w:left="567" w:right="566"/>
        <w:jc w:val="both"/>
        <w:rPr>
          <w:rFonts w:ascii="Tenorite" w:hAnsi="Tenorite"/>
          <w:sz w:val="20"/>
          <w:szCs w:val="20"/>
        </w:rPr>
      </w:pPr>
    </w:p>
    <w:p w14:paraId="41E8BE05" w14:textId="77777777" w:rsidR="00C340F1" w:rsidRPr="001260B8" w:rsidRDefault="00C340F1" w:rsidP="0036141E">
      <w:pPr>
        <w:shd w:val="clear" w:color="auto" w:fill="FFFFFF"/>
        <w:spacing w:after="0" w:line="240" w:lineRule="auto"/>
        <w:ind w:left="567" w:right="566"/>
        <w:jc w:val="both"/>
        <w:rPr>
          <w:rFonts w:ascii="Tenorite" w:hAnsi="Tenorite"/>
          <w:sz w:val="20"/>
          <w:szCs w:val="20"/>
        </w:rPr>
      </w:pPr>
      <w:hyperlink r:id="rId22"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d’exécution (UE) 2024/2878 de la Commission du 8 novembre 2024 approuvant la substance de base Allium </w:t>
      </w:r>
      <w:proofErr w:type="spellStart"/>
      <w:r w:rsidRPr="001260B8">
        <w:rPr>
          <w:rFonts w:ascii="Tenorite" w:hAnsi="Tenorite"/>
          <w:sz w:val="20"/>
          <w:szCs w:val="20"/>
        </w:rPr>
        <w:t>fistulosum</w:t>
      </w:r>
      <w:proofErr w:type="spellEnd"/>
      <w:r w:rsidRPr="001260B8">
        <w:rPr>
          <w:rFonts w:ascii="Tenorite" w:hAnsi="Tenorite"/>
          <w:sz w:val="20"/>
          <w:szCs w:val="20"/>
        </w:rPr>
        <w:t>, transformé, conformément au règlement (CE) no 1107/2009 du Parlement européen et du Conseil, et modifiant le règlement d’exécution (UE) no 540/2011 de la Commission (JOUE 11/11/2024)</w:t>
      </w:r>
    </w:p>
    <w:p w14:paraId="5CCE3387" w14:textId="77777777" w:rsidR="0035466B" w:rsidRPr="001260B8" w:rsidRDefault="0035466B" w:rsidP="0036141E">
      <w:pPr>
        <w:shd w:val="clear" w:color="auto" w:fill="FFFFFF"/>
        <w:spacing w:after="0" w:line="240" w:lineRule="auto"/>
        <w:ind w:left="567" w:right="566"/>
        <w:jc w:val="both"/>
        <w:rPr>
          <w:rFonts w:ascii="Tenorite" w:hAnsi="Tenorite"/>
          <w:sz w:val="20"/>
          <w:szCs w:val="20"/>
        </w:rPr>
      </w:pPr>
    </w:p>
    <w:p w14:paraId="18CEA5CD" w14:textId="77777777" w:rsidR="00C340F1" w:rsidRPr="001260B8" w:rsidRDefault="00C340F1" w:rsidP="0036141E">
      <w:pPr>
        <w:shd w:val="clear" w:color="auto" w:fill="FFFFFF"/>
        <w:spacing w:after="0" w:line="240" w:lineRule="auto"/>
        <w:ind w:left="567" w:right="566"/>
        <w:jc w:val="both"/>
        <w:rPr>
          <w:rFonts w:ascii="Tenorite" w:hAnsi="Tenorite"/>
          <w:sz w:val="20"/>
          <w:szCs w:val="20"/>
        </w:rPr>
      </w:pPr>
      <w:hyperlink r:id="rId23"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d’exécution (UE) 2024/2848 de la Commission du 11 novembre 2024 modifiant le règlement d’exécution (UE) no 540/2011 en ce qui concerne la période d’approbation des substances actives </w:t>
      </w:r>
      <w:proofErr w:type="spellStart"/>
      <w:r w:rsidRPr="001260B8">
        <w:rPr>
          <w:rFonts w:ascii="Tenorite" w:hAnsi="Tenorite"/>
          <w:sz w:val="20"/>
          <w:szCs w:val="20"/>
        </w:rPr>
        <w:t>fenpyrazamine</w:t>
      </w:r>
      <w:proofErr w:type="spellEnd"/>
      <w:r w:rsidRPr="001260B8">
        <w:rPr>
          <w:rFonts w:ascii="Tenorite" w:hAnsi="Tenorite"/>
          <w:sz w:val="20"/>
          <w:szCs w:val="20"/>
        </w:rPr>
        <w:t xml:space="preserve"> et </w:t>
      </w:r>
      <w:proofErr w:type="spellStart"/>
      <w:r w:rsidRPr="001260B8">
        <w:rPr>
          <w:rFonts w:ascii="Tenorite" w:hAnsi="Tenorite"/>
          <w:sz w:val="20"/>
          <w:szCs w:val="20"/>
        </w:rPr>
        <w:t>flumétraline</w:t>
      </w:r>
      <w:proofErr w:type="spellEnd"/>
      <w:r w:rsidRPr="001260B8">
        <w:rPr>
          <w:rFonts w:ascii="Tenorite" w:hAnsi="Tenorite"/>
          <w:sz w:val="20"/>
          <w:szCs w:val="20"/>
        </w:rPr>
        <w:t xml:space="preserve"> (JOUE 12/11/2024)</w:t>
      </w:r>
    </w:p>
    <w:p w14:paraId="0A91C6E9" w14:textId="77777777" w:rsidR="0035466B" w:rsidRPr="001260B8" w:rsidRDefault="0035466B" w:rsidP="0036141E">
      <w:pPr>
        <w:shd w:val="clear" w:color="auto" w:fill="FFFFFF"/>
        <w:spacing w:after="0" w:line="240" w:lineRule="auto"/>
        <w:ind w:left="567" w:right="566"/>
        <w:jc w:val="both"/>
        <w:rPr>
          <w:rFonts w:ascii="Tenorite" w:hAnsi="Tenorite"/>
          <w:sz w:val="20"/>
          <w:szCs w:val="20"/>
        </w:rPr>
      </w:pPr>
    </w:p>
    <w:p w14:paraId="4ABB7719" w14:textId="77777777" w:rsidR="00C340F1" w:rsidRPr="001260B8" w:rsidRDefault="00C340F1" w:rsidP="0036141E">
      <w:pPr>
        <w:shd w:val="clear" w:color="auto" w:fill="FFFFFF"/>
        <w:spacing w:after="0" w:line="240" w:lineRule="auto"/>
        <w:ind w:left="567" w:right="566"/>
        <w:jc w:val="both"/>
        <w:rPr>
          <w:rFonts w:ascii="Tenorite" w:hAnsi="Tenorite"/>
          <w:sz w:val="20"/>
          <w:szCs w:val="20"/>
        </w:rPr>
      </w:pPr>
      <w:hyperlink r:id="rId24"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(UE) 2024/2929 de la Commission du 27 novembre 2024 rectifiant la version en langue française de l’annexe XVII du règlement (CE) no 1907/2006 du Parlement européen et du Conseil en ce qui concerne les niveaux de concentration de certaines substances (JOUE 26/11/2024)</w:t>
      </w:r>
    </w:p>
    <w:p w14:paraId="414741DD" w14:textId="77777777" w:rsidR="005F005A" w:rsidRPr="001260B8" w:rsidRDefault="005F005A" w:rsidP="0036141E">
      <w:pPr>
        <w:shd w:val="clear" w:color="auto" w:fill="FFFFFF"/>
        <w:spacing w:after="0" w:line="240" w:lineRule="auto"/>
        <w:ind w:left="567" w:right="566"/>
        <w:jc w:val="both"/>
        <w:rPr>
          <w:rFonts w:ascii="Tenorite" w:hAnsi="Tenorite"/>
          <w:sz w:val="20"/>
          <w:szCs w:val="20"/>
        </w:rPr>
      </w:pPr>
    </w:p>
    <w:p w14:paraId="0D3DDA60" w14:textId="77777777" w:rsidR="005F005A" w:rsidRPr="001260B8" w:rsidRDefault="005F005A" w:rsidP="0036141E">
      <w:pPr>
        <w:pStyle w:val="Titre3"/>
        <w:shd w:val="clear" w:color="auto" w:fill="FFFFFF"/>
        <w:spacing w:before="0" w:beforeAutospacing="0" w:after="0" w:afterAutospacing="0"/>
        <w:ind w:left="567" w:right="566"/>
        <w:jc w:val="both"/>
        <w:rPr>
          <w:rFonts w:ascii="Tenorite" w:hAnsi="Tenorite" w:cstheme="minorHAnsi"/>
          <w:b w:val="0"/>
          <w:bCs w:val="0"/>
          <w:iCs/>
          <w:sz w:val="20"/>
          <w:szCs w:val="20"/>
        </w:rPr>
      </w:pPr>
      <w:hyperlink r:id="rId25" w:history="1">
        <w:r w:rsidRPr="001260B8">
          <w:rPr>
            <w:rStyle w:val="Lienhypertexte"/>
            <w:rFonts w:ascii="Tenorite" w:eastAsiaTheme="majorEastAsia" w:hAnsi="Tenorite" w:cstheme="minorHAnsi"/>
            <w:b w:val="0"/>
            <w:bCs w:val="0"/>
            <w:iCs/>
            <w:color w:val="auto"/>
            <w:sz w:val="20"/>
            <w:szCs w:val="20"/>
          </w:rPr>
          <w:t>AVIS</w:t>
        </w:r>
      </w:hyperlink>
      <w:r w:rsidRPr="001260B8">
        <w:rPr>
          <w:rFonts w:ascii="Tenorite" w:hAnsi="Tenorite" w:cstheme="minorHAnsi"/>
          <w:b w:val="0"/>
          <w:bCs w:val="0"/>
          <w:iCs/>
          <w:sz w:val="20"/>
          <w:szCs w:val="20"/>
        </w:rPr>
        <w:t xml:space="preserve"> de l'Anses relatif à l’évaluation du 2-tert-butyl-4-methoxyphenol (n° CAS 121-00-6) dans le cadre de l’évaluation des substances sous REACH – avis signé le 03/12/2024</w:t>
      </w:r>
    </w:p>
    <w:p w14:paraId="55AD84A8" w14:textId="77777777" w:rsidR="005F005A" w:rsidRPr="001260B8" w:rsidRDefault="005F005A" w:rsidP="0036141E">
      <w:pPr>
        <w:pStyle w:val="Titre3"/>
        <w:shd w:val="clear" w:color="auto" w:fill="FFFFFF"/>
        <w:spacing w:before="0" w:beforeAutospacing="0" w:after="0" w:afterAutospacing="0"/>
        <w:ind w:left="567" w:right="566"/>
        <w:jc w:val="both"/>
        <w:rPr>
          <w:rFonts w:ascii="Tenorite" w:hAnsi="Tenorite" w:cstheme="minorHAnsi"/>
          <w:b w:val="0"/>
          <w:bCs w:val="0"/>
          <w:i/>
          <w:iCs/>
          <w:sz w:val="20"/>
          <w:szCs w:val="20"/>
        </w:rPr>
      </w:pPr>
    </w:p>
    <w:p w14:paraId="18EF45F5" w14:textId="77777777" w:rsidR="005F005A" w:rsidRPr="001260B8" w:rsidRDefault="005F005A" w:rsidP="0036141E">
      <w:pPr>
        <w:shd w:val="clear" w:color="auto" w:fill="FFFFFF"/>
        <w:spacing w:after="0" w:line="240" w:lineRule="auto"/>
        <w:ind w:left="567" w:right="566"/>
        <w:jc w:val="both"/>
        <w:rPr>
          <w:rFonts w:ascii="Tenorite" w:eastAsia="Times New Roman" w:hAnsi="Tenorite" w:cstheme="minorHAnsi"/>
          <w:sz w:val="20"/>
          <w:szCs w:val="20"/>
          <w:lang w:eastAsia="fr-FR"/>
        </w:rPr>
      </w:pPr>
      <w:r w:rsidRPr="001260B8">
        <w:rPr>
          <w:rFonts w:ascii="Tenorite" w:eastAsia="Times New Roman" w:hAnsi="Tenorite" w:cstheme="minorHAnsi"/>
          <w:b/>
          <w:bCs/>
          <w:sz w:val="20"/>
          <w:szCs w:val="20"/>
          <w:lang w:eastAsia="fr-FR"/>
        </w:rPr>
        <w:t>Note de service </w:t>
      </w:r>
      <w:hyperlink r:id="rId26" w:history="1">
        <w:r w:rsidRPr="001260B8">
          <w:rPr>
            <w:rFonts w:ascii="Tenorite" w:eastAsia="Times New Roman" w:hAnsi="Tenorite" w:cstheme="minorHAnsi"/>
            <w:sz w:val="20"/>
            <w:szCs w:val="20"/>
            <w:u w:val="single"/>
            <w:lang w:eastAsia="fr-FR"/>
          </w:rPr>
          <w:t>DGAL/SDSPV/2024-705</w:t>
        </w:r>
      </w:hyperlink>
      <w:r w:rsidRPr="001260B8">
        <w:rPr>
          <w:rFonts w:ascii="Tenorite" w:eastAsia="Times New Roman" w:hAnsi="Tenorite" w:cstheme="minorHAnsi"/>
          <w:sz w:val="20"/>
          <w:szCs w:val="20"/>
          <w:lang w:eastAsia="fr-FR"/>
        </w:rPr>
        <w:t> du 15-12-2024 - Guide de lecture associé au référentiel de certification pour l'activité « conseils stratégique et spécifique à l'utilisation de produits phytopharmaceutiques » (DGAL)</w:t>
      </w:r>
    </w:p>
    <w:p w14:paraId="7B676E17" w14:textId="77777777" w:rsidR="005F005A" w:rsidRPr="001260B8" w:rsidRDefault="005F005A" w:rsidP="0036141E">
      <w:pPr>
        <w:shd w:val="clear" w:color="auto" w:fill="FFFFFF"/>
        <w:spacing w:after="0" w:line="240" w:lineRule="auto"/>
        <w:ind w:left="567" w:right="566"/>
        <w:jc w:val="both"/>
        <w:rPr>
          <w:rStyle w:val="Lienhypertexte"/>
          <w:rFonts w:ascii="Tenorite" w:eastAsia="Times New Roman" w:hAnsi="Tenorite" w:cstheme="minorHAnsi"/>
          <w:color w:val="auto"/>
          <w:sz w:val="20"/>
          <w:szCs w:val="20"/>
          <w:lang w:eastAsia="fr-FR"/>
        </w:rPr>
      </w:pPr>
    </w:p>
    <w:p w14:paraId="2E5B7A82"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hyperlink r:id="rId27" w:history="1">
        <w:r w:rsidRPr="001260B8">
          <w:rPr>
            <w:rStyle w:val="Lienhypertexte"/>
            <w:rFonts w:ascii="Tenorite" w:hAnsi="Tenorite"/>
            <w:color w:val="auto"/>
            <w:sz w:val="20"/>
            <w:szCs w:val="20"/>
            <w:shd w:val="clear" w:color="auto" w:fill="FFFFFF"/>
          </w:rPr>
          <w:t>Règlement</w:t>
        </w:r>
      </w:hyperlink>
      <w:r w:rsidRPr="001260B8">
        <w:rPr>
          <w:rFonts w:ascii="Tenorite" w:hAnsi="Tenorite"/>
          <w:sz w:val="20"/>
          <w:szCs w:val="20"/>
          <w:shd w:val="clear" w:color="auto" w:fill="FFFFFF"/>
        </w:rPr>
        <w:t xml:space="preserve"> d’exécution (UE) 2024/2964 de la Commission du 29 novembre 2024 approuvant les produits de la réaction de l’acide borique avec la </w:t>
      </w:r>
      <w:proofErr w:type="spellStart"/>
      <w:r w:rsidRPr="001260B8">
        <w:rPr>
          <w:rFonts w:ascii="Tenorite" w:hAnsi="Tenorite"/>
          <w:sz w:val="20"/>
          <w:szCs w:val="20"/>
          <w:shd w:val="clear" w:color="auto" w:fill="FFFFFF"/>
        </w:rPr>
        <w:t>didécylamine</w:t>
      </w:r>
      <w:proofErr w:type="spellEnd"/>
      <w:r w:rsidRPr="001260B8">
        <w:rPr>
          <w:rFonts w:ascii="Tenorite" w:hAnsi="Tenorite"/>
          <w:sz w:val="20"/>
          <w:szCs w:val="20"/>
          <w:shd w:val="clear" w:color="auto" w:fill="FFFFFF"/>
        </w:rPr>
        <w:t xml:space="preserve"> et l’oxyde d’éthylène (bétaïne polymère) en tant que substance active existante destinée à être utilisée dans des produits biocides relevant des types de produits 8, conformément au règlement (UE) no 528/2012 du Parlement européen et du Conseil (JOUE 02/12/2024)</w:t>
      </w:r>
    </w:p>
    <w:p w14:paraId="0677910A"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p>
    <w:p w14:paraId="3403EEDF"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hyperlink r:id="rId28" w:history="1">
        <w:r w:rsidRPr="001260B8">
          <w:rPr>
            <w:rStyle w:val="Lienhypertexte"/>
            <w:rFonts w:ascii="Tenorite" w:hAnsi="Tenorite"/>
            <w:color w:val="auto"/>
            <w:sz w:val="20"/>
            <w:szCs w:val="20"/>
            <w:shd w:val="clear" w:color="auto" w:fill="FFFFFF"/>
          </w:rPr>
          <w:t>Décision</w:t>
        </w:r>
      </w:hyperlink>
      <w:r w:rsidRPr="001260B8">
        <w:rPr>
          <w:rFonts w:ascii="Tenorite" w:hAnsi="Tenorite"/>
          <w:sz w:val="20"/>
          <w:szCs w:val="20"/>
          <w:shd w:val="clear" w:color="auto" w:fill="FFFFFF"/>
        </w:rPr>
        <w:t xml:space="preserve"> d’exécution (UE) 2024/2930 de la Commission du 28 novembre 2024 reportant l’expiration de l’approbation du dazomet destiné à être utilisé dans les produits biocides relevant du type de produits 8, conformément au règlement (UE) no 528/2012 du Parlement européen et du Conseil (JOUE 02/12/2024)</w:t>
      </w:r>
    </w:p>
    <w:p w14:paraId="5A8F6482"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p>
    <w:p w14:paraId="15EFAA5F"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hyperlink r:id="rId29" w:history="1">
        <w:r w:rsidRPr="001260B8">
          <w:rPr>
            <w:rStyle w:val="Lienhypertexte"/>
            <w:rFonts w:ascii="Tenorite" w:hAnsi="Tenorite"/>
            <w:color w:val="auto"/>
            <w:sz w:val="20"/>
            <w:szCs w:val="20"/>
            <w:shd w:val="clear" w:color="auto" w:fill="FFFFFF"/>
          </w:rPr>
          <w:t>Décision</w:t>
        </w:r>
      </w:hyperlink>
      <w:r w:rsidRPr="001260B8">
        <w:rPr>
          <w:rFonts w:ascii="Tenorite" w:hAnsi="Tenorite"/>
          <w:sz w:val="20"/>
          <w:szCs w:val="20"/>
          <w:shd w:val="clear" w:color="auto" w:fill="FFFFFF"/>
        </w:rPr>
        <w:t xml:space="preserve"> d’exécution (UE) 2024/2945 de la Commission du 29 novembre 2024 reportant l’expiration de l’approbation du </w:t>
      </w:r>
      <w:proofErr w:type="spellStart"/>
      <w:r w:rsidRPr="001260B8">
        <w:rPr>
          <w:rFonts w:ascii="Tenorite" w:hAnsi="Tenorite"/>
          <w:sz w:val="20"/>
          <w:szCs w:val="20"/>
          <w:shd w:val="clear" w:color="auto" w:fill="FFFFFF"/>
        </w:rPr>
        <w:t>tralopyril</w:t>
      </w:r>
      <w:proofErr w:type="spellEnd"/>
      <w:r w:rsidRPr="001260B8">
        <w:rPr>
          <w:rFonts w:ascii="Tenorite" w:hAnsi="Tenorite"/>
          <w:sz w:val="20"/>
          <w:szCs w:val="20"/>
          <w:shd w:val="clear" w:color="auto" w:fill="FFFFFF"/>
        </w:rPr>
        <w:t xml:space="preserve"> destiné à être utilisé dans les produits biocides relevant du type de produits 21, conformément au règlement (UE) no 528/2012 du Parlement européen et du Conseil (JOUE 02/12/2024)</w:t>
      </w:r>
    </w:p>
    <w:p w14:paraId="2667AB52"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p>
    <w:p w14:paraId="72243417"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hyperlink r:id="rId30" w:history="1">
        <w:r w:rsidRPr="001260B8">
          <w:rPr>
            <w:rStyle w:val="Lienhypertexte"/>
            <w:rFonts w:ascii="Tenorite" w:hAnsi="Tenorite"/>
            <w:color w:val="auto"/>
            <w:sz w:val="20"/>
            <w:szCs w:val="20"/>
            <w:shd w:val="clear" w:color="auto" w:fill="FFFFFF"/>
          </w:rPr>
          <w:t>Décision</w:t>
        </w:r>
      </w:hyperlink>
      <w:r w:rsidRPr="001260B8">
        <w:rPr>
          <w:rFonts w:ascii="Tenorite" w:hAnsi="Tenorite"/>
          <w:sz w:val="20"/>
          <w:szCs w:val="20"/>
          <w:shd w:val="clear" w:color="auto" w:fill="FFFFFF"/>
        </w:rPr>
        <w:t xml:space="preserve"> d’exécution (UE) 2024/2946 de la Commission du 29 novembre 2024 refusant d’accorder une autorisation de l’Union pour la famille de produits biocides dénommée BPF H2O2 HAG conformément au règlement (UE) no 528/2012 du Parlement européen et du Conseil (JOUE 02/12/2024)</w:t>
      </w:r>
    </w:p>
    <w:p w14:paraId="71EF453F"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p>
    <w:p w14:paraId="03407B80"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hyperlink r:id="rId31" w:history="1">
        <w:r w:rsidRPr="001260B8">
          <w:rPr>
            <w:rStyle w:val="Lienhypertexte"/>
            <w:rFonts w:ascii="Tenorite" w:hAnsi="Tenorite"/>
            <w:color w:val="auto"/>
            <w:sz w:val="20"/>
            <w:szCs w:val="20"/>
            <w:shd w:val="clear" w:color="auto" w:fill="FFFFFF"/>
          </w:rPr>
          <w:t>Décision</w:t>
        </w:r>
      </w:hyperlink>
      <w:r w:rsidRPr="001260B8">
        <w:rPr>
          <w:rFonts w:ascii="Tenorite" w:hAnsi="Tenorite"/>
          <w:sz w:val="20"/>
          <w:szCs w:val="20"/>
          <w:shd w:val="clear" w:color="auto" w:fill="FFFFFF"/>
        </w:rPr>
        <w:t xml:space="preserve"> d’exécution (UE) 2024/2961 de la Commission du 29 novembre 2024 concernant la prorogation de la mesure prise par l’Agence finlandaise de la sécurité et des produits chimiques autorisant la mise à disposition sur le marché et l’utilisation du produit biocide </w:t>
      </w:r>
      <w:proofErr w:type="spellStart"/>
      <w:r w:rsidRPr="001260B8">
        <w:rPr>
          <w:rFonts w:ascii="Tenorite" w:hAnsi="Tenorite"/>
          <w:sz w:val="20"/>
          <w:szCs w:val="20"/>
          <w:shd w:val="clear" w:color="auto" w:fill="FFFFFF"/>
        </w:rPr>
        <w:t>Biobor</w:t>
      </w:r>
      <w:proofErr w:type="spellEnd"/>
      <w:r w:rsidRPr="001260B8">
        <w:rPr>
          <w:rFonts w:ascii="Tenorite" w:hAnsi="Tenorite"/>
          <w:sz w:val="20"/>
          <w:szCs w:val="20"/>
          <w:shd w:val="clear" w:color="auto" w:fill="FFFFFF"/>
        </w:rPr>
        <w:t xml:space="preserve"> JF conformément au règlement (UE) no 528/2012 du Parlement européen et du Conseil (JOUE 02/12/2024)</w:t>
      </w:r>
    </w:p>
    <w:p w14:paraId="5BCE897B" w14:textId="77777777" w:rsidR="005F005A" w:rsidRPr="009A1B79" w:rsidRDefault="005F005A" w:rsidP="0036141E">
      <w:pPr>
        <w:spacing w:after="0" w:line="240" w:lineRule="auto"/>
        <w:ind w:left="567" w:right="566"/>
        <w:jc w:val="both"/>
        <w:rPr>
          <w:rFonts w:ascii="Tenorite" w:hAnsi="Tenorite"/>
          <w:color w:val="333333"/>
          <w:sz w:val="20"/>
          <w:szCs w:val="20"/>
          <w:shd w:val="clear" w:color="auto" w:fill="FFFFFF"/>
        </w:rPr>
      </w:pPr>
    </w:p>
    <w:p w14:paraId="1D7D256E"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hyperlink r:id="rId32" w:history="1">
        <w:r w:rsidRPr="001260B8">
          <w:rPr>
            <w:rStyle w:val="Lienhypertexte"/>
            <w:rFonts w:ascii="Tenorite" w:hAnsi="Tenorite"/>
            <w:color w:val="auto"/>
            <w:sz w:val="20"/>
            <w:szCs w:val="20"/>
            <w:shd w:val="clear" w:color="auto" w:fill="FFFFFF"/>
          </w:rPr>
          <w:t>Décision</w:t>
        </w:r>
      </w:hyperlink>
      <w:r w:rsidRPr="001260B8">
        <w:rPr>
          <w:rFonts w:ascii="Tenorite" w:hAnsi="Tenorite"/>
          <w:sz w:val="20"/>
          <w:szCs w:val="20"/>
          <w:shd w:val="clear" w:color="auto" w:fill="FFFFFF"/>
        </w:rPr>
        <w:t xml:space="preserve"> d’exécution (UE) 2024/2948 de la Commission du 29 novembre 2024 relative à la non-approbation de certaines substances actives pour une utilisation dans des produits biocides, conformément au règlement (UE) no 528/2012 du Parlement européen et du Conseil (JOUE 03/12/2024)</w:t>
      </w:r>
    </w:p>
    <w:p w14:paraId="6511AD19" w14:textId="49FCA242" w:rsidR="005F005A" w:rsidRPr="001260B8" w:rsidRDefault="005F005A" w:rsidP="0036141E">
      <w:pPr>
        <w:spacing w:after="0" w:line="240" w:lineRule="auto"/>
        <w:ind w:left="567" w:right="566"/>
        <w:jc w:val="both"/>
        <w:rPr>
          <w:rFonts w:ascii="Tenorite" w:hAnsi="Tenorite"/>
          <w:sz w:val="20"/>
          <w:szCs w:val="20"/>
          <w:shd w:val="clear" w:color="auto" w:fill="FFFFFF"/>
        </w:rPr>
      </w:pPr>
      <w:hyperlink r:id="rId33" w:history="1">
        <w:r w:rsidRPr="001260B8">
          <w:rPr>
            <w:rStyle w:val="Lienhypertexte"/>
            <w:rFonts w:ascii="Tenorite" w:hAnsi="Tenorite"/>
            <w:color w:val="auto"/>
            <w:sz w:val="20"/>
            <w:szCs w:val="20"/>
            <w:shd w:val="clear" w:color="auto" w:fill="FFFFFF"/>
          </w:rPr>
          <w:t>Décision</w:t>
        </w:r>
      </w:hyperlink>
      <w:r w:rsidRPr="001260B8">
        <w:rPr>
          <w:rFonts w:ascii="Tenorite" w:hAnsi="Tenorite"/>
          <w:sz w:val="20"/>
          <w:szCs w:val="20"/>
          <w:shd w:val="clear" w:color="auto" w:fill="FFFFFF"/>
        </w:rPr>
        <w:t xml:space="preserve"> d’exécution (UE) 2024/2950 de la Commission du 29 novembre 2024 reportant l’expiration de l’approbation du N,N-</w:t>
      </w:r>
      <w:proofErr w:type="spellStart"/>
      <w:r w:rsidRPr="001260B8">
        <w:rPr>
          <w:rFonts w:ascii="Tenorite" w:hAnsi="Tenorite"/>
          <w:sz w:val="20"/>
          <w:szCs w:val="20"/>
          <w:shd w:val="clear" w:color="auto" w:fill="FFFFFF"/>
        </w:rPr>
        <w:t>diéthyl</w:t>
      </w:r>
      <w:proofErr w:type="spellEnd"/>
      <w:r w:rsidRPr="001260B8">
        <w:rPr>
          <w:rFonts w:ascii="Tenorite" w:hAnsi="Tenorite"/>
          <w:sz w:val="20"/>
          <w:szCs w:val="20"/>
          <w:shd w:val="clear" w:color="auto" w:fill="FFFFFF"/>
        </w:rPr>
        <w:t>-méta-</w:t>
      </w:r>
      <w:proofErr w:type="spellStart"/>
      <w:r w:rsidRPr="001260B8">
        <w:rPr>
          <w:rFonts w:ascii="Tenorite" w:hAnsi="Tenorite"/>
          <w:sz w:val="20"/>
          <w:szCs w:val="20"/>
          <w:shd w:val="clear" w:color="auto" w:fill="FFFFFF"/>
        </w:rPr>
        <w:t>toluamide</w:t>
      </w:r>
      <w:proofErr w:type="spellEnd"/>
      <w:r w:rsidRPr="001260B8">
        <w:rPr>
          <w:rFonts w:ascii="Tenorite" w:hAnsi="Tenorite"/>
          <w:sz w:val="20"/>
          <w:szCs w:val="20"/>
          <w:shd w:val="clear" w:color="auto" w:fill="FFFFFF"/>
        </w:rPr>
        <w:t xml:space="preserve"> destiné à être utilisé dans les produits biocides relevant du type de produits 19, conformément au règlement (UE) no 528/2012 du Parlement européen et du Conseil (JOUE 03/12/2024)</w:t>
      </w:r>
    </w:p>
    <w:p w14:paraId="722A8480"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p>
    <w:p w14:paraId="642A1C55" w14:textId="77777777" w:rsidR="005F005A" w:rsidRPr="001260B8" w:rsidRDefault="005F005A" w:rsidP="0036141E">
      <w:pPr>
        <w:spacing w:after="0" w:line="240" w:lineRule="auto"/>
        <w:ind w:left="567" w:right="566"/>
        <w:jc w:val="both"/>
        <w:rPr>
          <w:rFonts w:ascii="Tenorite" w:hAnsi="Tenorite"/>
          <w:sz w:val="20"/>
          <w:szCs w:val="20"/>
          <w:shd w:val="clear" w:color="auto" w:fill="FFFFFF"/>
        </w:rPr>
      </w:pPr>
      <w:hyperlink r:id="rId34" w:history="1">
        <w:r w:rsidRPr="001260B8">
          <w:rPr>
            <w:rStyle w:val="Lienhypertexte"/>
            <w:rFonts w:ascii="Tenorite" w:hAnsi="Tenorite"/>
            <w:color w:val="auto"/>
            <w:sz w:val="20"/>
            <w:szCs w:val="20"/>
            <w:shd w:val="clear" w:color="auto" w:fill="FFFFFF"/>
          </w:rPr>
          <w:t>Règlement</w:t>
        </w:r>
      </w:hyperlink>
      <w:r w:rsidRPr="001260B8">
        <w:rPr>
          <w:rFonts w:ascii="Tenorite" w:hAnsi="Tenorite"/>
          <w:sz w:val="20"/>
          <w:szCs w:val="20"/>
          <w:shd w:val="clear" w:color="auto" w:fill="FFFFFF"/>
        </w:rPr>
        <w:t xml:space="preserve"> délégué (UE) 2024/3199 de la Commission du 15 octobre 2024 modifiant le règlement (UE) no 649/2012 du Parlement européen et du Conseil en ce qui concerne l’inscription des pesticides et des produits chimiques industriels (JOUE 31/12/2024)</w:t>
      </w:r>
    </w:p>
    <w:p w14:paraId="2AFF01B8" w14:textId="77777777" w:rsidR="005F005A" w:rsidRDefault="005F005A" w:rsidP="0036141E">
      <w:pPr>
        <w:shd w:val="clear" w:color="auto" w:fill="FFFFFF"/>
        <w:spacing w:after="0" w:line="240" w:lineRule="auto"/>
        <w:ind w:left="567" w:right="566"/>
        <w:jc w:val="both"/>
        <w:rPr>
          <w:rFonts w:ascii="Tenorite" w:hAnsi="Tenorite"/>
          <w:sz w:val="20"/>
          <w:szCs w:val="20"/>
        </w:rPr>
      </w:pPr>
    </w:p>
    <w:p w14:paraId="6630880B"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CONTAMINANTS</w:t>
      </w:r>
    </w:p>
    <w:p w14:paraId="7FDE5ED7" w14:textId="77777777" w:rsidR="00C871A3" w:rsidRDefault="00C871A3" w:rsidP="0036141E">
      <w:pPr>
        <w:spacing w:after="0" w:line="240" w:lineRule="auto"/>
        <w:ind w:left="567" w:right="566"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5185D7C8" w14:textId="77777777" w:rsidR="00513F68" w:rsidRPr="001260B8" w:rsidRDefault="00513F68"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35" w:history="1">
        <w:r w:rsidRPr="001260B8">
          <w:rPr>
            <w:rFonts w:ascii="Tenorite" w:eastAsia="Times New Roman" w:hAnsi="Tenorite" w:cs="Times New Roman"/>
            <w:sz w:val="20"/>
            <w:szCs w:val="20"/>
            <w:u w:val="single"/>
            <w:lang w:eastAsia="fr-FR"/>
          </w:rPr>
          <w:t>DGAL/SDEIGIR/2024-736</w:t>
        </w:r>
      </w:hyperlink>
      <w:r w:rsidRPr="001260B8">
        <w:rPr>
          <w:rFonts w:ascii="Tenorite" w:eastAsia="Times New Roman" w:hAnsi="Tenorite" w:cs="Times New Roman"/>
          <w:sz w:val="20"/>
          <w:szCs w:val="20"/>
          <w:lang w:eastAsia="fr-FR"/>
        </w:rPr>
        <w:t> du 27-12-2024 - Plan de surveillance des résidus de pesticides dans les denrées alimentaires d’origine végétale et dans l'alimentation infantile en 2025 (DGAL)</w:t>
      </w:r>
    </w:p>
    <w:p w14:paraId="5ABAF640" w14:textId="77777777" w:rsidR="00513F68" w:rsidRPr="001260B8" w:rsidRDefault="00513F68" w:rsidP="0036141E">
      <w:pPr>
        <w:spacing w:after="0" w:line="240" w:lineRule="auto"/>
        <w:ind w:left="567" w:right="566" w:hanging="142"/>
        <w:rPr>
          <w:rFonts w:ascii="Tenorite" w:hAnsi="Tenorite"/>
          <w:sz w:val="20"/>
        </w:rPr>
      </w:pPr>
    </w:p>
    <w:p w14:paraId="4A6B373D" w14:textId="77777777" w:rsidR="008C31CF" w:rsidRPr="001260B8" w:rsidRDefault="008C31CF"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36" w:history="1">
        <w:r w:rsidRPr="001260B8">
          <w:rPr>
            <w:rFonts w:ascii="Tenorite" w:eastAsia="Times New Roman" w:hAnsi="Tenorite" w:cs="Times New Roman"/>
            <w:sz w:val="20"/>
            <w:szCs w:val="20"/>
            <w:u w:val="single"/>
            <w:lang w:eastAsia="fr-FR"/>
          </w:rPr>
          <w:t>DGAL/SDEIGIR/2024-651</w:t>
        </w:r>
      </w:hyperlink>
      <w:r w:rsidRPr="001260B8">
        <w:rPr>
          <w:rFonts w:ascii="Tenorite" w:eastAsia="Times New Roman" w:hAnsi="Tenorite" w:cs="Times New Roman"/>
          <w:sz w:val="20"/>
          <w:szCs w:val="20"/>
          <w:lang w:eastAsia="fr-FR"/>
        </w:rPr>
        <w:t xml:space="preserve"> du 03-12-2024 - Dispositif PSPC - Dispositions spécifiques relatives à la mise en œuvre du plan de surveillance des </w:t>
      </w:r>
      <w:r w:rsidRPr="001260B8">
        <w:rPr>
          <w:rFonts w:ascii="Tenorite" w:eastAsia="Times New Roman" w:hAnsi="Tenorite" w:cs="Times New Roman"/>
          <w:b/>
          <w:bCs/>
          <w:sz w:val="20"/>
          <w:szCs w:val="20"/>
          <w:lang w:eastAsia="fr-FR"/>
        </w:rPr>
        <w:t>pesticides</w:t>
      </w:r>
      <w:r w:rsidRPr="001260B8">
        <w:rPr>
          <w:rFonts w:ascii="Tenorite" w:eastAsia="Times New Roman" w:hAnsi="Tenorite" w:cs="Times New Roman"/>
          <w:sz w:val="20"/>
          <w:szCs w:val="20"/>
          <w:lang w:eastAsia="fr-FR"/>
        </w:rPr>
        <w:t xml:space="preserve"> dans certaines </w:t>
      </w:r>
      <w:r w:rsidRPr="001260B8">
        <w:rPr>
          <w:rFonts w:ascii="Tenorite" w:eastAsia="Times New Roman" w:hAnsi="Tenorite" w:cs="Times New Roman"/>
          <w:b/>
          <w:bCs/>
          <w:sz w:val="20"/>
          <w:szCs w:val="20"/>
          <w:lang w:eastAsia="fr-FR"/>
        </w:rPr>
        <w:t>denrées alimentaires d'origine animale</w:t>
      </w:r>
      <w:r w:rsidRPr="001260B8">
        <w:rPr>
          <w:rFonts w:ascii="Tenorite" w:eastAsia="Times New Roman" w:hAnsi="Tenorite" w:cs="Times New Roman"/>
          <w:sz w:val="20"/>
          <w:szCs w:val="20"/>
          <w:lang w:eastAsia="fr-FR"/>
        </w:rPr>
        <w:t xml:space="preserve"> : graisses de porcins et laits de vache en 2025 (DGAL)</w:t>
      </w:r>
    </w:p>
    <w:p w14:paraId="22AFB97A" w14:textId="77777777" w:rsidR="008C31CF" w:rsidRPr="005F3EA3" w:rsidRDefault="008C31CF" w:rsidP="0036141E">
      <w:pPr>
        <w:spacing w:after="0" w:line="240" w:lineRule="auto"/>
        <w:ind w:left="567" w:right="566" w:hanging="142"/>
        <w:rPr>
          <w:rFonts w:ascii="Tenorite" w:hAnsi="Tenorite"/>
          <w:color w:val="C45911" w:themeColor="accent2" w:themeShade="BF"/>
          <w:sz w:val="20"/>
        </w:rPr>
      </w:pPr>
    </w:p>
    <w:p w14:paraId="1012E99E" w14:textId="77777777" w:rsidR="005F3EA3" w:rsidRPr="005F3EA3" w:rsidRDefault="005F3EA3" w:rsidP="0036141E">
      <w:pPr>
        <w:spacing w:after="0" w:line="240" w:lineRule="auto"/>
        <w:ind w:left="567" w:right="566" w:hanging="142"/>
        <w:rPr>
          <w:rFonts w:ascii="Tenorite" w:eastAsia="MS Gothic" w:hAnsi="Tenorite" w:cs="Segoe UI Symbol"/>
          <w:b/>
          <w:sz w:val="28"/>
        </w:rPr>
      </w:pPr>
    </w:p>
    <w:p w14:paraId="2115C4F0"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p>
    <w:p w14:paraId="5B30DC1D" w14:textId="77777777" w:rsidR="002F17D1" w:rsidRDefault="002B7CB6" w:rsidP="0036141E">
      <w:pPr>
        <w:spacing w:after="0" w:line="240" w:lineRule="auto"/>
        <w:ind w:left="567" w:right="566"/>
        <w:rPr>
          <w:rFonts w:ascii="Tenorite" w:hAnsi="Tenorite"/>
          <w:color w:val="C45911" w:themeColor="accent2" w:themeShade="BF"/>
          <w:sz w:val="20"/>
        </w:rPr>
      </w:pPr>
      <w:r w:rsidRPr="005F3EA3">
        <w:rPr>
          <w:rFonts w:ascii="Tenorite" w:hAnsi="Tenorite"/>
          <w:color w:val="C45911" w:themeColor="accent2" w:themeShade="BF"/>
          <w:sz w:val="20"/>
        </w:rPr>
        <w:t>Général</w:t>
      </w:r>
    </w:p>
    <w:p w14:paraId="013FCC19" w14:textId="77777777" w:rsidR="001D3E9A" w:rsidRPr="001260B8" w:rsidRDefault="001D3E9A" w:rsidP="0036141E">
      <w:pPr>
        <w:adjustRightInd w:val="0"/>
        <w:spacing w:after="0" w:line="240" w:lineRule="auto"/>
        <w:ind w:left="567" w:right="566"/>
        <w:jc w:val="both"/>
        <w:rPr>
          <w:rFonts w:ascii="Tenorite" w:hAnsi="Tenorite"/>
          <w:sz w:val="20"/>
          <w:szCs w:val="20"/>
        </w:rPr>
      </w:pPr>
      <w:hyperlink r:id="rId37" w:history="1">
        <w:r w:rsidRPr="001260B8">
          <w:rPr>
            <w:rStyle w:val="Lienhypertexte"/>
            <w:rFonts w:ascii="Tenorite" w:hAnsi="Tenorite"/>
            <w:color w:val="auto"/>
            <w:sz w:val="20"/>
            <w:szCs w:val="20"/>
          </w:rPr>
          <w:t>Rapport spécial 23/2024</w:t>
        </w:r>
      </w:hyperlink>
      <w:r w:rsidRPr="001260B8">
        <w:rPr>
          <w:rFonts w:ascii="Tenorite" w:hAnsi="Tenorite"/>
          <w:sz w:val="20"/>
          <w:szCs w:val="20"/>
        </w:rPr>
        <w:t>: Étiquetage des denrées alimentaires dans l’UE – Des consommateurs parfois déroutés par la masse d’informations (JOUE 28/11/2024)</w:t>
      </w:r>
    </w:p>
    <w:p w14:paraId="6C91B4B0" w14:textId="77777777" w:rsidR="00764235" w:rsidRPr="001260B8" w:rsidRDefault="00764235" w:rsidP="0036141E">
      <w:pPr>
        <w:spacing w:after="0" w:line="240" w:lineRule="auto"/>
        <w:ind w:left="567" w:right="566"/>
        <w:rPr>
          <w:rFonts w:ascii="Tenorite" w:hAnsi="Tenorite"/>
          <w:sz w:val="20"/>
        </w:rPr>
      </w:pPr>
    </w:p>
    <w:p w14:paraId="5A11BE1A"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273628E9" w14:textId="77777777" w:rsidR="000E7034" w:rsidRPr="001260B8" w:rsidRDefault="000E7034" w:rsidP="0036141E">
      <w:pPr>
        <w:pStyle w:val="Textebrut"/>
        <w:ind w:left="567" w:right="566"/>
        <w:jc w:val="both"/>
        <w:rPr>
          <w:rFonts w:ascii="Tenorite" w:hAnsi="Tenorite"/>
          <w:sz w:val="20"/>
          <w:szCs w:val="20"/>
        </w:rPr>
      </w:pPr>
      <w:hyperlink r:id="rId38" w:history="1">
        <w:r w:rsidRPr="001260B8">
          <w:rPr>
            <w:rStyle w:val="Lienhypertexte"/>
            <w:rFonts w:ascii="Tenorite" w:hAnsi="Tenorite"/>
            <w:color w:val="auto"/>
            <w:sz w:val="20"/>
            <w:szCs w:val="20"/>
          </w:rPr>
          <w:t>Décret</w:t>
        </w:r>
      </w:hyperlink>
      <w:r w:rsidRPr="001260B8">
        <w:rPr>
          <w:rFonts w:ascii="Tenorite" w:hAnsi="Tenorite"/>
          <w:sz w:val="20"/>
          <w:szCs w:val="20"/>
        </w:rPr>
        <w:t xml:space="preserve"> n° 2024-1171 du 6 décembre 2024 portant mesures d'adaptation du code de la consommation à l'entrée en vigueur du règlement (UE) 2023/988 du Parlement européen et du Conseil du 10 mai 2023 relatif à la </w:t>
      </w:r>
      <w:r w:rsidRPr="001260B8">
        <w:rPr>
          <w:rFonts w:ascii="Tenorite" w:hAnsi="Tenorite"/>
          <w:b/>
          <w:bCs/>
          <w:sz w:val="20"/>
          <w:szCs w:val="20"/>
        </w:rPr>
        <w:t>sécurité des produits</w:t>
      </w:r>
      <w:r w:rsidRPr="001260B8">
        <w:rPr>
          <w:rFonts w:ascii="Tenorite" w:hAnsi="Tenorite"/>
          <w:sz w:val="20"/>
          <w:szCs w:val="20"/>
        </w:rPr>
        <w:t xml:space="preserve"> (JORF 07/12/2024)</w:t>
      </w:r>
    </w:p>
    <w:p w14:paraId="55BEDD83" w14:textId="77777777" w:rsidR="000E7034" w:rsidRDefault="000E7034" w:rsidP="0036141E">
      <w:pPr>
        <w:spacing w:after="0" w:line="240" w:lineRule="auto"/>
        <w:ind w:left="567" w:right="566" w:hanging="142"/>
        <w:rPr>
          <w:rFonts w:ascii="Tenorite" w:hAnsi="Tenorite"/>
          <w:color w:val="C45911" w:themeColor="accent2" w:themeShade="BF"/>
          <w:sz w:val="20"/>
        </w:rPr>
      </w:pPr>
    </w:p>
    <w:p w14:paraId="031B339F" w14:textId="77777777" w:rsidR="00C871A3" w:rsidRPr="005F3EA3" w:rsidRDefault="00C871A3" w:rsidP="0036141E">
      <w:pPr>
        <w:spacing w:after="0" w:line="240" w:lineRule="auto"/>
        <w:ind w:left="567" w:right="566" w:hanging="142"/>
        <w:rPr>
          <w:rFonts w:ascii="Tenorite" w:hAnsi="Tenorite"/>
          <w:color w:val="C45911" w:themeColor="accent2" w:themeShade="BF"/>
          <w:sz w:val="20"/>
        </w:rPr>
      </w:pPr>
      <w:r w:rsidRPr="005F3EA3">
        <w:rPr>
          <w:rFonts w:ascii="Tenorite" w:hAnsi="Tenorite"/>
          <w:color w:val="C45911" w:themeColor="accent2" w:themeShade="BF"/>
          <w:sz w:val="20"/>
        </w:rPr>
        <w:t>Bulletins épidémiologiques</w:t>
      </w:r>
    </w:p>
    <w:p w14:paraId="303E32B4" w14:textId="77777777" w:rsidR="007447D0" w:rsidRPr="001260B8" w:rsidRDefault="007447D0" w:rsidP="0036141E">
      <w:pPr>
        <w:adjustRightInd w:val="0"/>
        <w:spacing w:after="0" w:line="240" w:lineRule="auto"/>
        <w:ind w:left="567" w:right="566"/>
        <w:jc w:val="both"/>
        <w:rPr>
          <w:rFonts w:ascii="Tenorite" w:hAnsi="Tenorite"/>
          <w:sz w:val="20"/>
          <w:szCs w:val="20"/>
        </w:rPr>
      </w:pPr>
      <w:hyperlink r:id="rId39" w:history="1">
        <w:proofErr w:type="spellStart"/>
        <w:r w:rsidRPr="001260B8">
          <w:rPr>
            <w:rStyle w:val="Lienhypertexte"/>
            <w:rFonts w:ascii="Tenorite" w:hAnsi="Tenorite"/>
            <w:color w:val="auto"/>
            <w:sz w:val="20"/>
            <w:szCs w:val="20"/>
          </w:rPr>
          <w:t>BuSCA</w:t>
        </w:r>
        <w:proofErr w:type="spellEnd"/>
        <w:r w:rsidRPr="001260B8">
          <w:rPr>
            <w:rStyle w:val="Lienhypertexte"/>
            <w:rFonts w:ascii="Tenorite" w:hAnsi="Tenorite"/>
            <w:color w:val="auto"/>
            <w:sz w:val="20"/>
            <w:szCs w:val="20"/>
          </w:rPr>
          <w:t xml:space="preserve"> n°122</w:t>
        </w:r>
      </w:hyperlink>
      <w:r w:rsidRPr="001260B8">
        <w:rPr>
          <w:rFonts w:ascii="Tenorite" w:hAnsi="Tenorite"/>
          <w:sz w:val="20"/>
          <w:szCs w:val="20"/>
        </w:rPr>
        <w:t>– 19 novembre 2024, Plateforme de surveillance de la chaîne alimentaire</w:t>
      </w:r>
    </w:p>
    <w:p w14:paraId="78750A50" w14:textId="77777777" w:rsidR="000E7034" w:rsidRPr="001260B8" w:rsidRDefault="000E7034" w:rsidP="0036141E">
      <w:pPr>
        <w:adjustRightInd w:val="0"/>
        <w:spacing w:after="0" w:line="240" w:lineRule="auto"/>
        <w:ind w:left="567" w:right="566"/>
        <w:jc w:val="both"/>
        <w:rPr>
          <w:rFonts w:ascii="Tenorite" w:eastAsia="SimSun" w:hAnsi="Tenorite" w:cs="SimianText-Orangutan"/>
          <w:sz w:val="20"/>
          <w:szCs w:val="20"/>
          <w:lang w:eastAsia="zh-CN"/>
        </w:rPr>
      </w:pPr>
      <w:hyperlink r:id="rId40" w:history="1">
        <w:proofErr w:type="spellStart"/>
        <w:r w:rsidRPr="001260B8">
          <w:rPr>
            <w:rStyle w:val="Lienhypertexte"/>
            <w:rFonts w:ascii="Tenorite" w:eastAsia="SimSun" w:hAnsi="Tenorite" w:cs="SimianText-Orangutan"/>
            <w:color w:val="auto"/>
            <w:sz w:val="20"/>
            <w:szCs w:val="20"/>
            <w:lang w:eastAsia="zh-CN"/>
          </w:rPr>
          <w:t>BuSCA</w:t>
        </w:r>
        <w:proofErr w:type="spellEnd"/>
        <w:r w:rsidRPr="001260B8">
          <w:rPr>
            <w:rStyle w:val="Lienhypertexte"/>
            <w:rFonts w:ascii="Tenorite" w:eastAsia="SimSun" w:hAnsi="Tenorite" w:cs="SimianText-Orangutan"/>
            <w:color w:val="auto"/>
            <w:sz w:val="20"/>
            <w:szCs w:val="20"/>
            <w:lang w:eastAsia="zh-CN"/>
          </w:rPr>
          <w:t xml:space="preserve"> n°123</w:t>
        </w:r>
      </w:hyperlink>
      <w:r w:rsidRPr="001260B8">
        <w:rPr>
          <w:rFonts w:ascii="Tenorite" w:eastAsia="SimSun" w:hAnsi="Tenorite" w:cs="SimianText-Orangutan"/>
          <w:sz w:val="20"/>
          <w:szCs w:val="20"/>
          <w:lang w:eastAsia="zh-CN"/>
        </w:rPr>
        <w:t>– 13 décembre 2024, Plateforme de surveillance de la chaîne alimentaire</w:t>
      </w:r>
    </w:p>
    <w:p w14:paraId="5205BC91" w14:textId="77777777" w:rsidR="000E7034" w:rsidRPr="001260B8" w:rsidRDefault="000E7034" w:rsidP="0036141E">
      <w:pPr>
        <w:adjustRightInd w:val="0"/>
        <w:spacing w:after="0" w:line="240" w:lineRule="auto"/>
        <w:ind w:left="567" w:right="566"/>
        <w:jc w:val="both"/>
        <w:rPr>
          <w:rFonts w:ascii="Tenorite" w:eastAsia="SimSun" w:hAnsi="Tenorite" w:cs="SimianText-Orangutan"/>
          <w:sz w:val="20"/>
          <w:szCs w:val="20"/>
          <w:lang w:eastAsia="zh-CN"/>
        </w:rPr>
      </w:pPr>
      <w:hyperlink r:id="rId41" w:history="1">
        <w:r w:rsidRPr="001260B8">
          <w:rPr>
            <w:rStyle w:val="Lienhypertexte"/>
            <w:rFonts w:ascii="Tenorite" w:eastAsia="SimSun" w:hAnsi="Tenorite" w:cs="SimianText-Orangutan"/>
            <w:color w:val="auto"/>
            <w:sz w:val="20"/>
            <w:szCs w:val="20"/>
            <w:lang w:eastAsia="zh-CN"/>
          </w:rPr>
          <w:t>Bulletin des vigilances</w:t>
        </w:r>
      </w:hyperlink>
      <w:r w:rsidRPr="001260B8">
        <w:rPr>
          <w:rFonts w:ascii="Tenorite" w:eastAsia="SimSun" w:hAnsi="Tenorite" w:cs="SimianText-Orangutan"/>
          <w:sz w:val="20"/>
          <w:szCs w:val="20"/>
          <w:lang w:eastAsia="zh-CN"/>
        </w:rPr>
        <w:t xml:space="preserve">, numéro 24, Décembre 2024 </w:t>
      </w:r>
    </w:p>
    <w:p w14:paraId="763E606A" w14:textId="77777777" w:rsidR="000E7034" w:rsidRDefault="000E7034" w:rsidP="0036141E">
      <w:pPr>
        <w:adjustRightInd w:val="0"/>
        <w:spacing w:after="0" w:line="240" w:lineRule="auto"/>
        <w:ind w:left="567" w:right="566"/>
        <w:jc w:val="both"/>
        <w:rPr>
          <w:rFonts w:ascii="Tenorite" w:hAnsi="Tenorite"/>
          <w:sz w:val="20"/>
          <w:szCs w:val="20"/>
        </w:rPr>
      </w:pPr>
    </w:p>
    <w:p w14:paraId="45981641" w14:textId="77777777" w:rsidR="00C871A3" w:rsidRPr="005F3EA3" w:rsidRDefault="00C871A3" w:rsidP="0036141E">
      <w:pPr>
        <w:spacing w:after="0" w:line="240" w:lineRule="auto"/>
        <w:ind w:left="567" w:right="566" w:hanging="142"/>
        <w:rPr>
          <w:rFonts w:ascii="Tenorite" w:hAnsi="Tenorite"/>
          <w:color w:val="C45911" w:themeColor="accent2" w:themeShade="BF"/>
          <w:sz w:val="20"/>
        </w:rPr>
      </w:pPr>
      <w:r w:rsidRPr="005F3EA3">
        <w:rPr>
          <w:rFonts w:ascii="Tenorite" w:hAnsi="Tenorite"/>
          <w:color w:val="C45911" w:themeColor="accent2" w:themeShade="BF"/>
          <w:sz w:val="20"/>
        </w:rPr>
        <w:t>Dangers biologiques /microbiologiques</w:t>
      </w:r>
    </w:p>
    <w:p w14:paraId="4DC29397" w14:textId="77777777" w:rsidR="007447D0" w:rsidRPr="001260B8" w:rsidRDefault="007447D0" w:rsidP="0036141E">
      <w:pPr>
        <w:shd w:val="clear" w:color="auto" w:fill="FFFFFF"/>
        <w:spacing w:after="0" w:line="240" w:lineRule="auto"/>
        <w:ind w:left="567" w:right="566"/>
        <w:jc w:val="both"/>
        <w:rPr>
          <w:rFonts w:ascii="Tenorite" w:hAnsi="Tenorite"/>
          <w:sz w:val="20"/>
          <w:szCs w:val="20"/>
        </w:rPr>
      </w:pPr>
      <w:hyperlink r:id="rId42"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(UE) 2024/2895 de la Commission du 20 novembre 2024 modifiant le règlement (CE) no 2073/2005 en ce qui concerne </w:t>
      </w:r>
      <w:r w:rsidRPr="001260B8">
        <w:rPr>
          <w:rFonts w:ascii="Tenorite" w:hAnsi="Tenorite"/>
          <w:b/>
          <w:bCs/>
          <w:sz w:val="20"/>
          <w:szCs w:val="20"/>
        </w:rPr>
        <w:t>Listeria</w:t>
      </w:r>
      <w:r w:rsidRPr="001260B8">
        <w:rPr>
          <w:rFonts w:ascii="Tenorite" w:hAnsi="Tenorite"/>
          <w:sz w:val="20"/>
          <w:szCs w:val="20"/>
        </w:rPr>
        <w:t xml:space="preserve"> monocytogenes (JOUE 21/11/2024)</w:t>
      </w:r>
    </w:p>
    <w:p w14:paraId="42CB7C81" w14:textId="77777777" w:rsidR="007447D0" w:rsidRPr="001260B8" w:rsidRDefault="007447D0" w:rsidP="0036141E">
      <w:pPr>
        <w:shd w:val="clear" w:color="auto" w:fill="FFFFFF"/>
        <w:spacing w:after="0" w:line="240" w:lineRule="auto"/>
        <w:ind w:left="567" w:right="566"/>
        <w:jc w:val="both"/>
        <w:rPr>
          <w:rFonts w:ascii="Tenorite" w:hAnsi="Tenorite"/>
          <w:sz w:val="20"/>
          <w:szCs w:val="20"/>
        </w:rPr>
      </w:pPr>
    </w:p>
    <w:p w14:paraId="769A9DFE" w14:textId="77777777" w:rsidR="00C871A3" w:rsidRDefault="00C871A3" w:rsidP="0036141E">
      <w:pPr>
        <w:spacing w:after="0" w:line="240" w:lineRule="auto"/>
        <w:ind w:left="567" w:right="566" w:hanging="142"/>
        <w:rPr>
          <w:rFonts w:ascii="Tenorite" w:hAnsi="Tenorite"/>
          <w:color w:val="C45911" w:themeColor="accent2" w:themeShade="BF"/>
          <w:sz w:val="20"/>
        </w:rPr>
      </w:pPr>
      <w:r w:rsidRPr="005F3EA3">
        <w:rPr>
          <w:rFonts w:ascii="Tenorite" w:hAnsi="Tenorite"/>
          <w:color w:val="C45911" w:themeColor="accent2" w:themeShade="BF"/>
          <w:sz w:val="20"/>
        </w:rPr>
        <w:t>Fraudes (non exhaustif)</w:t>
      </w:r>
    </w:p>
    <w:p w14:paraId="03172693" w14:textId="09E80DD9" w:rsidR="000E7034" w:rsidRPr="005F3EA3" w:rsidRDefault="000E7034" w:rsidP="0036141E">
      <w:pPr>
        <w:shd w:val="clear" w:color="auto" w:fill="FFFFFF"/>
        <w:spacing w:after="0" w:line="240" w:lineRule="auto"/>
        <w:ind w:left="567" w:right="566"/>
        <w:jc w:val="both"/>
        <w:rPr>
          <w:rFonts w:ascii="Tenorite" w:hAnsi="Tenorite"/>
          <w:color w:val="C45911" w:themeColor="accent2" w:themeShade="BF"/>
          <w:sz w:val="20"/>
        </w:rPr>
      </w:pPr>
      <w:r w:rsidRPr="001260B8">
        <w:rPr>
          <w:rFonts w:ascii="Tenorite" w:eastAsia="Times New Roman" w:hAnsi="Tenorite" w:cs="Times New Roman"/>
          <w:sz w:val="20"/>
          <w:szCs w:val="20"/>
          <w:lang w:eastAsia="fr-FR"/>
        </w:rPr>
        <w:t xml:space="preserve">Newsletter </w:t>
      </w:r>
      <w:hyperlink r:id="rId43" w:history="1">
        <w:r w:rsidRPr="001260B8">
          <w:rPr>
            <w:rStyle w:val="Lienhypertexte"/>
            <w:rFonts w:ascii="Tenorite" w:eastAsia="Times New Roman" w:hAnsi="Tenorite" w:cs="Times New Roman"/>
            <w:color w:val="auto"/>
            <w:sz w:val="20"/>
            <w:szCs w:val="20"/>
            <w:lang w:eastAsia="fr-FR"/>
          </w:rPr>
          <w:t>Octobre 2024</w:t>
        </w:r>
      </w:hyperlink>
      <w:r w:rsidRPr="001260B8">
        <w:rPr>
          <w:rFonts w:ascii="Tenorite" w:eastAsia="Times New Roman" w:hAnsi="Tenorite" w:cs="Times New Roman"/>
          <w:sz w:val="20"/>
          <w:szCs w:val="20"/>
          <w:lang w:eastAsia="fr-FR"/>
        </w:rPr>
        <w:t>, Fraudes alimentaires, Commission européenne</w:t>
      </w:r>
    </w:p>
    <w:p w14:paraId="4AE7F952" w14:textId="77777777" w:rsidR="008C31CF" w:rsidRDefault="008C31CF" w:rsidP="0036141E">
      <w:pPr>
        <w:spacing w:after="0" w:line="240" w:lineRule="auto"/>
        <w:ind w:left="567" w:right="566" w:hanging="142"/>
        <w:rPr>
          <w:rFonts w:ascii="Tenorite" w:hAnsi="Tenorite"/>
          <w:color w:val="C45911" w:themeColor="accent2" w:themeShade="BF"/>
          <w:sz w:val="20"/>
        </w:rPr>
      </w:pPr>
    </w:p>
    <w:p w14:paraId="79E428DB" w14:textId="43706BE5" w:rsidR="00C871A3" w:rsidRPr="005F3EA3" w:rsidRDefault="00C871A3" w:rsidP="0036141E">
      <w:pPr>
        <w:spacing w:after="0" w:line="240" w:lineRule="auto"/>
        <w:ind w:left="567" w:right="566" w:hanging="142"/>
        <w:rPr>
          <w:rFonts w:ascii="Tenorite" w:hAnsi="Tenorite"/>
          <w:color w:val="C45911" w:themeColor="accent2" w:themeShade="BF"/>
          <w:sz w:val="20"/>
        </w:rPr>
      </w:pPr>
      <w:r w:rsidRPr="005F3EA3">
        <w:rPr>
          <w:rFonts w:ascii="Tenorite" w:hAnsi="Tenorite"/>
          <w:color w:val="C45911" w:themeColor="accent2" w:themeShade="BF"/>
          <w:sz w:val="20"/>
        </w:rPr>
        <w:t>Transport/entreposage</w:t>
      </w:r>
      <w:r w:rsidRPr="005F3EA3">
        <w:rPr>
          <w:rFonts w:ascii="Tenorite" w:hAnsi="Tenorite"/>
          <w:color w:val="C45911" w:themeColor="accent2" w:themeShade="BF"/>
          <w:sz w:val="20"/>
        </w:rPr>
        <w:tab/>
      </w:r>
    </w:p>
    <w:p w14:paraId="26D25D88" w14:textId="77777777" w:rsidR="000E7034" w:rsidRPr="001260B8" w:rsidRDefault="000E7034" w:rsidP="0036141E">
      <w:pPr>
        <w:adjustRightInd w:val="0"/>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44" w:history="1">
        <w:r w:rsidRPr="001260B8">
          <w:rPr>
            <w:rFonts w:ascii="Tenorite" w:eastAsia="Times New Roman" w:hAnsi="Tenorite" w:cs="Times New Roman"/>
            <w:sz w:val="20"/>
            <w:szCs w:val="20"/>
            <w:u w:val="single"/>
            <w:lang w:eastAsia="fr-FR"/>
          </w:rPr>
          <w:t>DGAL/SDSSA/2024-698</w:t>
        </w:r>
      </w:hyperlink>
      <w:r w:rsidRPr="001260B8">
        <w:rPr>
          <w:rFonts w:ascii="Tenorite" w:eastAsia="Times New Roman" w:hAnsi="Tenorite" w:cs="Times New Roman"/>
          <w:sz w:val="20"/>
          <w:szCs w:val="20"/>
          <w:lang w:eastAsia="fr-FR"/>
        </w:rPr>
        <w:t> du 17-12-2024 - Contrôle des engins de transport terrestre de denrées périssables sous température dirigée (DGAL)</w:t>
      </w:r>
    </w:p>
    <w:p w14:paraId="4D86B33B" w14:textId="77777777" w:rsidR="007447D0" w:rsidRPr="00211ED3" w:rsidRDefault="007447D0" w:rsidP="0036141E">
      <w:pPr>
        <w:shd w:val="clear" w:color="auto" w:fill="FFFFFF"/>
        <w:spacing w:after="0" w:line="240" w:lineRule="auto"/>
        <w:ind w:left="567" w:right="566"/>
        <w:jc w:val="both"/>
        <w:rPr>
          <w:rFonts w:ascii="Tenorite" w:hAnsi="Tenorite"/>
          <w:sz w:val="20"/>
          <w:szCs w:val="20"/>
        </w:rPr>
      </w:pPr>
    </w:p>
    <w:p w14:paraId="279B3CF6"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INGREDIENTS ET NOUVEAUX INGREDIENTS</w:t>
      </w:r>
      <w:r w:rsidRPr="005F3EA3">
        <w:rPr>
          <w:rFonts w:ascii="Tenorite" w:hAnsi="Tenorite"/>
          <w:b/>
          <w:color w:val="833C0B" w:themeColor="accent2" w:themeShade="80"/>
          <w:sz w:val="24"/>
        </w:rPr>
        <w:tab/>
      </w:r>
    </w:p>
    <w:p w14:paraId="32AE8537" w14:textId="77777777" w:rsidR="00850FC1" w:rsidRPr="001260B8" w:rsidRDefault="00850FC1" w:rsidP="0036141E">
      <w:pPr>
        <w:pStyle w:val="Textebrut"/>
        <w:ind w:left="567" w:right="566"/>
        <w:jc w:val="both"/>
        <w:rPr>
          <w:rFonts w:ascii="Tenorite" w:hAnsi="Tenorite"/>
          <w:sz w:val="20"/>
          <w:szCs w:val="20"/>
        </w:rPr>
      </w:pPr>
      <w:hyperlink r:id="rId45" w:history="1">
        <w:r w:rsidRPr="001260B8">
          <w:rPr>
            <w:rStyle w:val="Lienhypertexte"/>
            <w:rFonts w:ascii="Tenorite" w:hAnsi="Tenorite"/>
            <w:color w:val="auto"/>
            <w:sz w:val="20"/>
            <w:szCs w:val="20"/>
          </w:rPr>
          <w:t>Rectificatif</w:t>
        </w:r>
      </w:hyperlink>
      <w:r w:rsidRPr="001260B8">
        <w:rPr>
          <w:rFonts w:ascii="Tenorite" w:hAnsi="Tenorite"/>
          <w:sz w:val="20"/>
          <w:szCs w:val="20"/>
        </w:rPr>
        <w:t xml:space="preserve"> au règlement d’exécution (UE) 2024/2694 de la Commission du 17 octobre 2024 autorisant la mise sur le marché du </w:t>
      </w:r>
      <w:r w:rsidRPr="001260B8">
        <w:rPr>
          <w:rFonts w:ascii="Tenorite" w:hAnsi="Tenorite"/>
          <w:b/>
          <w:bCs/>
          <w:sz w:val="20"/>
          <w:szCs w:val="20"/>
        </w:rPr>
        <w:t>L-</w:t>
      </w:r>
      <w:proofErr w:type="spellStart"/>
      <w:r w:rsidRPr="001260B8">
        <w:rPr>
          <w:rFonts w:ascii="Tenorite" w:hAnsi="Tenorite"/>
          <w:b/>
          <w:bCs/>
          <w:sz w:val="20"/>
          <w:szCs w:val="20"/>
        </w:rPr>
        <w:t>thréonate</w:t>
      </w:r>
      <w:proofErr w:type="spellEnd"/>
      <w:r w:rsidRPr="001260B8">
        <w:rPr>
          <w:rFonts w:ascii="Tenorite" w:hAnsi="Tenorite"/>
          <w:b/>
          <w:bCs/>
          <w:sz w:val="20"/>
          <w:szCs w:val="20"/>
        </w:rPr>
        <w:t xml:space="preserve"> de magnésium</w:t>
      </w:r>
      <w:r w:rsidRPr="001260B8">
        <w:rPr>
          <w:rFonts w:ascii="Tenorite" w:hAnsi="Tenorite"/>
          <w:sz w:val="20"/>
          <w:szCs w:val="20"/>
        </w:rPr>
        <w:t xml:space="preserve"> en tant que nouvel aliment et modifiant le règlement d’exécution (UE) 2017/2470 (JOUE 18/11/2024)</w:t>
      </w:r>
    </w:p>
    <w:p w14:paraId="29EC5D10" w14:textId="77777777" w:rsidR="005F38B8" w:rsidRPr="005F3EA3" w:rsidRDefault="005F38B8" w:rsidP="0036141E">
      <w:pPr>
        <w:spacing w:after="0" w:line="240" w:lineRule="auto"/>
        <w:ind w:left="567" w:right="566" w:hanging="142"/>
        <w:rPr>
          <w:rFonts w:ascii="Tenorite" w:hAnsi="Tenorite"/>
          <w:b/>
        </w:rPr>
      </w:pPr>
    </w:p>
    <w:p w14:paraId="5417E9F6"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p>
    <w:p w14:paraId="2C635D29" w14:textId="77777777" w:rsidR="00E2309A" w:rsidRPr="001260B8" w:rsidRDefault="00E2309A" w:rsidP="0036141E">
      <w:pPr>
        <w:pStyle w:val="title-bold"/>
        <w:shd w:val="clear" w:color="auto" w:fill="FFFFFF"/>
        <w:spacing w:before="0" w:beforeAutospacing="0" w:after="0" w:afterAutospacing="0"/>
        <w:ind w:left="567" w:right="566"/>
        <w:jc w:val="both"/>
        <w:rPr>
          <w:rFonts w:ascii="Tenorite" w:hAnsi="Tenorite"/>
          <w:sz w:val="20"/>
          <w:szCs w:val="20"/>
        </w:rPr>
      </w:pPr>
      <w:hyperlink r:id="rId46" w:history="1">
        <w:r w:rsidRPr="001260B8">
          <w:rPr>
            <w:rStyle w:val="Lienhypertexte"/>
            <w:rFonts w:ascii="Tenorite" w:eastAsiaTheme="majorEastAsia" w:hAnsi="Tenorite"/>
            <w:color w:val="auto"/>
            <w:sz w:val="20"/>
            <w:szCs w:val="20"/>
          </w:rPr>
          <w:t>Règlement</w:t>
        </w:r>
      </w:hyperlink>
      <w:r w:rsidRPr="001260B8">
        <w:rPr>
          <w:rFonts w:ascii="Tenorite" w:hAnsi="Tenorite"/>
          <w:sz w:val="20"/>
          <w:szCs w:val="20"/>
        </w:rPr>
        <w:t xml:space="preserve"> d’exécution (UE) 2024/3153 de la Commission du 18 décembre 2024 modifiant le règlement d’exécution (UE) 2019/1793 relatif au renforcement temporaire des contrôles officiels et aux mesures d’urgence régissant l’entrée dans l’Union de certains biens provenant de certains pays tiers, mettant en œuvre les règlements (UE) 2017/625 et (CE) no 178/2002 du Parlement européen et du Conseil (JOUE 19/12/2024)</w:t>
      </w:r>
    </w:p>
    <w:p w14:paraId="77102F17" w14:textId="77777777" w:rsidR="00513F68" w:rsidRPr="001260B8" w:rsidRDefault="00513F68"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47" w:history="1">
        <w:r w:rsidRPr="001260B8">
          <w:rPr>
            <w:rFonts w:ascii="Tenorite" w:eastAsia="Times New Roman" w:hAnsi="Tenorite" w:cs="Times New Roman"/>
            <w:sz w:val="20"/>
            <w:szCs w:val="20"/>
            <w:u w:val="single"/>
            <w:lang w:eastAsia="fr-FR"/>
          </w:rPr>
          <w:t>DGAL/SPPSI/2024-689</w:t>
        </w:r>
      </w:hyperlink>
      <w:r w:rsidRPr="001260B8">
        <w:rPr>
          <w:rFonts w:ascii="Tenorite" w:eastAsia="Times New Roman" w:hAnsi="Tenorite" w:cs="Times New Roman"/>
          <w:sz w:val="20"/>
          <w:szCs w:val="20"/>
          <w:lang w:eastAsia="fr-FR"/>
        </w:rPr>
        <w:t> du 13-12-2024 - EXPORT - Certification sanitaire vers la TURQUIE – référence au règlement 854/2004 à conserver. (DGAL)</w:t>
      </w:r>
    </w:p>
    <w:p w14:paraId="4386D953" w14:textId="77777777" w:rsidR="00513F68" w:rsidRPr="001260B8" w:rsidRDefault="00513F68" w:rsidP="0036141E">
      <w:pPr>
        <w:shd w:val="clear" w:color="auto" w:fill="FFFFFF"/>
        <w:spacing w:after="0" w:line="240" w:lineRule="auto"/>
        <w:ind w:left="567" w:right="566"/>
        <w:jc w:val="both"/>
        <w:rPr>
          <w:rFonts w:ascii="Tenorite" w:eastAsia="Times New Roman" w:hAnsi="Tenorite" w:cs="Times New Roman"/>
          <w:sz w:val="20"/>
          <w:szCs w:val="20"/>
          <w:lang w:eastAsia="fr-FR"/>
        </w:rPr>
      </w:pPr>
    </w:p>
    <w:p w14:paraId="42EB6FD4" w14:textId="77777777" w:rsidR="00513F68" w:rsidRPr="001260B8" w:rsidRDefault="00513F68" w:rsidP="0036141E">
      <w:pPr>
        <w:shd w:val="clear" w:color="auto" w:fill="FFFFFF"/>
        <w:spacing w:after="0" w:line="240" w:lineRule="auto"/>
        <w:ind w:left="567" w:right="566"/>
        <w:jc w:val="both"/>
        <w:rPr>
          <w:rFonts w:ascii="Tenorite" w:eastAsia="Times New Roman" w:hAnsi="Tenorite" w:cs="Times New Roman"/>
          <w:sz w:val="20"/>
          <w:szCs w:val="20"/>
          <w:lang w:eastAsia="fr-FR"/>
        </w:rPr>
      </w:pPr>
      <w:hyperlink r:id="rId48" w:history="1">
        <w:r w:rsidRPr="001260B8">
          <w:rPr>
            <w:rStyle w:val="Lienhypertexte"/>
            <w:rFonts w:ascii="Tenorite" w:hAnsi="Tenorite"/>
            <w:color w:val="auto"/>
            <w:sz w:val="20"/>
            <w:szCs w:val="20"/>
            <w:shd w:val="clear" w:color="auto" w:fill="FFFFFF"/>
          </w:rPr>
          <w:t>Règlement</w:t>
        </w:r>
      </w:hyperlink>
      <w:r w:rsidRPr="001260B8">
        <w:rPr>
          <w:rFonts w:ascii="Tenorite" w:hAnsi="Tenorite"/>
          <w:sz w:val="20"/>
          <w:szCs w:val="20"/>
          <w:shd w:val="clear" w:color="auto" w:fill="FFFFFF"/>
        </w:rPr>
        <w:t xml:space="preserve"> d’exécution (UE) 2024/3084 de la Commission du 4 décembre 2024 relatif au fonctionnement du système d’information prévu par le règlement (UE) 2023/1115 du Parlement européen et du Conseil relatif à la mise à </w:t>
      </w:r>
      <w:r w:rsidRPr="001260B8">
        <w:rPr>
          <w:rFonts w:ascii="Tenorite" w:hAnsi="Tenorite"/>
          <w:sz w:val="20"/>
          <w:szCs w:val="20"/>
          <w:shd w:val="clear" w:color="auto" w:fill="FFFFFF"/>
        </w:rPr>
        <w:lastRenderedPageBreak/>
        <w:t>disposition sur le marché de l’Union et à l’exportation à partir de l’Union de certains produits de base et produits associés à la déforestation et à la dégradation des forêts (JOUE 06/12/2024)</w:t>
      </w:r>
    </w:p>
    <w:p w14:paraId="71196A4E" w14:textId="77777777" w:rsidR="00513F68" w:rsidRPr="009A1B79" w:rsidRDefault="00513F68" w:rsidP="0036141E">
      <w:pPr>
        <w:pStyle w:val="title-bold"/>
        <w:shd w:val="clear" w:color="auto" w:fill="FFFFFF"/>
        <w:spacing w:before="0" w:beforeAutospacing="0" w:after="0" w:afterAutospacing="0"/>
        <w:ind w:left="567" w:right="566"/>
        <w:jc w:val="both"/>
        <w:rPr>
          <w:rFonts w:ascii="Tenorite" w:hAnsi="Tenorite"/>
          <w:color w:val="333333"/>
          <w:sz w:val="20"/>
          <w:szCs w:val="20"/>
        </w:rPr>
      </w:pPr>
    </w:p>
    <w:p w14:paraId="63DF5A7E"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MATERIAUX AU CONTACT – CONDITIONNEMENT - EMBALLAGE</w:t>
      </w:r>
    </w:p>
    <w:p w14:paraId="534459CD" w14:textId="77777777" w:rsidR="00C340F1" w:rsidRPr="001260B8" w:rsidRDefault="00C340F1" w:rsidP="0036141E">
      <w:pPr>
        <w:pStyle w:val="Textebrut"/>
        <w:ind w:left="567" w:right="566"/>
        <w:jc w:val="both"/>
        <w:rPr>
          <w:rFonts w:ascii="Tenorite" w:hAnsi="Tenorite"/>
          <w:sz w:val="20"/>
          <w:szCs w:val="20"/>
        </w:rPr>
      </w:pPr>
      <w:hyperlink r:id="rId49" w:history="1">
        <w:r w:rsidRPr="001260B8">
          <w:rPr>
            <w:rStyle w:val="Lienhypertexte"/>
            <w:rFonts w:ascii="Tenorite" w:hAnsi="Tenorite"/>
            <w:color w:val="auto"/>
            <w:sz w:val="20"/>
            <w:szCs w:val="20"/>
          </w:rPr>
          <w:t>Avis motivé</w:t>
        </w:r>
      </w:hyperlink>
      <w:r w:rsidRPr="001260B8">
        <w:rPr>
          <w:rFonts w:ascii="Tenorite" w:hAnsi="Tenorite"/>
          <w:sz w:val="20"/>
          <w:szCs w:val="20"/>
        </w:rPr>
        <w:t xml:space="preserve"> [INFRA(2024)5223], Commission Européenne, Procédure d’infraction du 14 novembre 2024 [</w:t>
      </w:r>
      <w:r w:rsidRPr="001260B8">
        <w:rPr>
          <w:rFonts w:ascii="Tenorite" w:hAnsi="Tenorite"/>
          <w:b/>
          <w:bCs/>
          <w:sz w:val="20"/>
          <w:szCs w:val="20"/>
        </w:rPr>
        <w:t>Etiquetage des consignes de tri des déchets en France</w:t>
      </w:r>
      <w:r w:rsidRPr="001260B8">
        <w:rPr>
          <w:rFonts w:ascii="Tenorite" w:hAnsi="Tenorite"/>
          <w:sz w:val="20"/>
          <w:szCs w:val="20"/>
        </w:rPr>
        <w:t>]</w:t>
      </w:r>
    </w:p>
    <w:p w14:paraId="0036007E" w14:textId="77777777" w:rsidR="00C340F1" w:rsidRPr="001260B8" w:rsidRDefault="00C340F1" w:rsidP="0036141E">
      <w:pPr>
        <w:pStyle w:val="Textebrut"/>
        <w:ind w:left="567" w:right="566"/>
        <w:jc w:val="both"/>
        <w:rPr>
          <w:rFonts w:ascii="Tenorite" w:hAnsi="Tenorite"/>
          <w:sz w:val="20"/>
          <w:szCs w:val="20"/>
        </w:rPr>
      </w:pPr>
    </w:p>
    <w:p w14:paraId="32BD8E48" w14:textId="77777777" w:rsidR="00C340F1" w:rsidRPr="001260B8" w:rsidRDefault="00C340F1" w:rsidP="0036141E">
      <w:pPr>
        <w:pStyle w:val="Textebrut"/>
        <w:ind w:left="567" w:right="566"/>
        <w:jc w:val="both"/>
        <w:rPr>
          <w:rFonts w:ascii="Tenorite" w:hAnsi="Tenorite"/>
          <w:sz w:val="20"/>
          <w:szCs w:val="20"/>
        </w:rPr>
      </w:pPr>
      <w:hyperlink r:id="rId50" w:history="1">
        <w:r w:rsidRPr="001260B8">
          <w:rPr>
            <w:rStyle w:val="Lienhypertexte"/>
            <w:rFonts w:ascii="Tenorite" w:hAnsi="Tenorite"/>
            <w:color w:val="auto"/>
            <w:sz w:val="20"/>
            <w:szCs w:val="20"/>
          </w:rPr>
          <w:t>Conseil d'État, Chambres réunies, Décision nº 475669</w:t>
        </w:r>
      </w:hyperlink>
      <w:r w:rsidRPr="001260B8">
        <w:rPr>
          <w:rFonts w:ascii="Tenorite" w:hAnsi="Tenorite"/>
          <w:sz w:val="20"/>
          <w:szCs w:val="20"/>
        </w:rPr>
        <w:t xml:space="preserve"> du 8 novembre 2024, Requête nº 24508 [Annulation du décret n°2023-878 – </w:t>
      </w:r>
      <w:r w:rsidRPr="001260B8">
        <w:rPr>
          <w:rFonts w:ascii="Tenorite" w:hAnsi="Tenorite"/>
          <w:b/>
          <w:bCs/>
          <w:sz w:val="20"/>
          <w:szCs w:val="20"/>
        </w:rPr>
        <w:t>Emballages plastiques</w:t>
      </w:r>
      <w:r w:rsidRPr="001260B8">
        <w:rPr>
          <w:rFonts w:ascii="Tenorite" w:hAnsi="Tenorite"/>
          <w:sz w:val="20"/>
          <w:szCs w:val="20"/>
        </w:rPr>
        <w:t xml:space="preserve"> – Fruits et légumes]</w:t>
      </w:r>
    </w:p>
    <w:p w14:paraId="0149E273" w14:textId="77777777" w:rsidR="00513F68" w:rsidRPr="001260B8" w:rsidRDefault="00513F68" w:rsidP="0036141E">
      <w:pPr>
        <w:pStyle w:val="Textebrut"/>
        <w:ind w:left="567" w:right="566"/>
        <w:jc w:val="both"/>
        <w:rPr>
          <w:rFonts w:ascii="Tenorite" w:hAnsi="Tenorite"/>
          <w:sz w:val="20"/>
          <w:szCs w:val="20"/>
        </w:rPr>
      </w:pPr>
    </w:p>
    <w:p w14:paraId="6C0495F0" w14:textId="77777777" w:rsidR="00513F68" w:rsidRPr="001260B8" w:rsidRDefault="00513F68" w:rsidP="0036141E">
      <w:pPr>
        <w:pStyle w:val="Textebrut"/>
        <w:ind w:left="567" w:right="566"/>
        <w:jc w:val="both"/>
        <w:rPr>
          <w:rFonts w:ascii="Tenorite" w:eastAsia="Times New Roman" w:hAnsi="Tenorite" w:cs="Times New Roman"/>
          <w:sz w:val="20"/>
          <w:szCs w:val="20"/>
          <w:lang w:eastAsia="fr-FR"/>
        </w:rPr>
      </w:pPr>
      <w:hyperlink r:id="rId51"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(UE) 2024/3190 de la Commission du 19 décembre 2024 relatif à l’utilisation du bisphénol A (</w:t>
      </w:r>
      <w:r w:rsidRPr="001260B8">
        <w:rPr>
          <w:rFonts w:ascii="Tenorite" w:hAnsi="Tenorite"/>
          <w:b/>
          <w:bCs/>
          <w:sz w:val="20"/>
          <w:szCs w:val="20"/>
        </w:rPr>
        <w:t>BPA</w:t>
      </w:r>
      <w:r w:rsidRPr="001260B8">
        <w:rPr>
          <w:rFonts w:ascii="Tenorite" w:hAnsi="Tenorite"/>
          <w:sz w:val="20"/>
          <w:szCs w:val="20"/>
        </w:rPr>
        <w:t>) et d’autres bisphénols et dérivés des bisphénols faisant l’objet d’une classification harmonisée en raison de propriétés dangereuses spécifiques dans certains matériaux et objets destinés à entrer en contact avec des denrées alimentaires, modifiant le règlement (UE) no 10/2011 et abrogeant le règlement (UE) 2018/213 (JOUE 31/12/2024)</w:t>
      </w:r>
    </w:p>
    <w:p w14:paraId="126C9E60" w14:textId="77777777" w:rsidR="00513F68" w:rsidRPr="00211ED3" w:rsidRDefault="00513F68" w:rsidP="0036141E">
      <w:pPr>
        <w:pStyle w:val="Textebrut"/>
        <w:ind w:left="567" w:right="566"/>
        <w:jc w:val="both"/>
        <w:rPr>
          <w:rFonts w:ascii="Tenorite" w:hAnsi="Tenorite"/>
          <w:sz w:val="20"/>
          <w:szCs w:val="20"/>
        </w:rPr>
      </w:pPr>
    </w:p>
    <w:p w14:paraId="2153F0AD"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2C44D545" w14:textId="1F61E61F" w:rsidR="001B42BB" w:rsidRDefault="008E4A87" w:rsidP="0036141E">
      <w:pPr>
        <w:spacing w:after="0" w:line="240" w:lineRule="auto"/>
        <w:ind w:left="567" w:right="566" w:hanging="142"/>
        <w:rPr>
          <w:rFonts w:ascii="Tenorite" w:hAnsi="Tenorite"/>
          <w:b/>
        </w:rPr>
      </w:pPr>
      <w:r>
        <w:rPr>
          <w:rFonts w:ascii="Tenorite" w:hAnsi="Tenorite"/>
          <w:b/>
        </w:rPr>
        <w:t>/</w:t>
      </w:r>
    </w:p>
    <w:p w14:paraId="09A481A7" w14:textId="77777777" w:rsidR="008E4A87" w:rsidRPr="005F3EA3" w:rsidRDefault="008E4A87" w:rsidP="0036141E">
      <w:pPr>
        <w:spacing w:after="0" w:line="240" w:lineRule="auto"/>
        <w:ind w:left="567" w:right="566" w:hanging="142"/>
        <w:rPr>
          <w:rFonts w:ascii="Tenorite" w:hAnsi="Tenorite"/>
          <w:b/>
        </w:rPr>
      </w:pPr>
    </w:p>
    <w:p w14:paraId="67B68949"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5DE8E02C" w14:textId="77777777" w:rsidR="005F005A" w:rsidRPr="001260B8" w:rsidRDefault="005F005A"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52" w:history="1">
        <w:r w:rsidRPr="001260B8">
          <w:rPr>
            <w:rFonts w:ascii="Tenorite" w:eastAsia="Times New Roman" w:hAnsi="Tenorite" w:cs="Times New Roman"/>
            <w:sz w:val="20"/>
            <w:szCs w:val="20"/>
            <w:u w:val="single"/>
            <w:lang w:eastAsia="fr-FR"/>
          </w:rPr>
          <w:t>DGAL/SDEIGIR/2024-706</w:t>
        </w:r>
      </w:hyperlink>
      <w:r w:rsidRPr="001260B8">
        <w:rPr>
          <w:rFonts w:ascii="Tenorite" w:eastAsia="Times New Roman" w:hAnsi="Tenorite" w:cs="Times New Roman"/>
          <w:sz w:val="20"/>
          <w:szCs w:val="20"/>
          <w:lang w:eastAsia="fr-FR"/>
        </w:rPr>
        <w:t> du 19-12-2024 - Dispositif PSPC - Plan de contrôle des organismes génétiquement modifiés (OGM) non autorisés dans les denrées alimentaires d’origine végétale et les substances produites par fermentation (enzymes) - Campagne 2025 (DGAL)</w:t>
      </w:r>
    </w:p>
    <w:p w14:paraId="293DB027" w14:textId="77777777" w:rsidR="005F38B8" w:rsidRPr="00C12D1F" w:rsidRDefault="005F38B8" w:rsidP="0036141E">
      <w:pPr>
        <w:pStyle w:val="Textebrut"/>
        <w:ind w:left="567" w:right="566"/>
        <w:jc w:val="both"/>
        <w:rPr>
          <w:rFonts w:ascii="Tenorite" w:hAnsi="Tenorite"/>
          <w:sz w:val="20"/>
          <w:szCs w:val="20"/>
        </w:rPr>
      </w:pPr>
    </w:p>
    <w:p w14:paraId="685BD29A"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SIGNES DE QUALITE</w:t>
      </w:r>
    </w:p>
    <w:p w14:paraId="167E1875" w14:textId="6C998FF5" w:rsidR="00850FC1" w:rsidRPr="00C871A3" w:rsidRDefault="00C871A3" w:rsidP="0036141E">
      <w:pPr>
        <w:spacing w:after="0" w:line="240" w:lineRule="auto"/>
        <w:ind w:left="567" w:right="566" w:hanging="142"/>
        <w:rPr>
          <w:rFonts w:ascii="Tenorite" w:hAnsi="Tenorite"/>
          <w:color w:val="C45911" w:themeColor="accent2" w:themeShade="BF"/>
          <w:sz w:val="20"/>
        </w:rPr>
      </w:pPr>
      <w:r w:rsidRPr="00C871A3">
        <w:rPr>
          <w:rFonts w:ascii="Tenorite" w:hAnsi="Tenorite"/>
          <w:color w:val="C45911" w:themeColor="accent2" w:themeShade="BF"/>
          <w:sz w:val="20"/>
        </w:rPr>
        <w:t>Bio</w:t>
      </w:r>
    </w:p>
    <w:p w14:paraId="3F327C2D" w14:textId="77777777" w:rsidR="00850FC1" w:rsidRPr="001260B8" w:rsidRDefault="00850FC1" w:rsidP="0036141E">
      <w:pPr>
        <w:shd w:val="clear" w:color="auto" w:fill="FFFFFF"/>
        <w:spacing w:after="0" w:line="240" w:lineRule="auto"/>
        <w:ind w:left="567" w:right="566"/>
        <w:jc w:val="both"/>
        <w:rPr>
          <w:rFonts w:ascii="Tenorite" w:hAnsi="Tenorite"/>
          <w:sz w:val="20"/>
          <w:szCs w:val="20"/>
        </w:rPr>
      </w:pPr>
      <w:hyperlink r:id="rId53"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d’exécution (UE) 2024/2794 de la Commission du 31 octobre 2024 modifiant le règlement d’exécution (UE) 2021/1378 en ce qui concerne la reconnaissance, conformément à l’article 46 du règlement (UE) 2018/848 du Parlement européen et du Conseil, de certains organismes de contrôle comme ayant compétence pour effectuer les contrôles et délivrer des certificats biologiques dans les pays tiers aux fins des </w:t>
      </w:r>
      <w:r w:rsidRPr="001260B8">
        <w:rPr>
          <w:rFonts w:ascii="Tenorite" w:hAnsi="Tenorite"/>
          <w:b/>
          <w:bCs/>
          <w:sz w:val="20"/>
          <w:szCs w:val="20"/>
        </w:rPr>
        <w:t>importations de produits biologiques dans l’Union</w:t>
      </w:r>
      <w:r w:rsidRPr="001260B8">
        <w:rPr>
          <w:rFonts w:ascii="Tenorite" w:hAnsi="Tenorite"/>
          <w:sz w:val="20"/>
          <w:szCs w:val="20"/>
        </w:rPr>
        <w:t xml:space="preserve"> (JOUE 04/11/2024)</w:t>
      </w:r>
    </w:p>
    <w:p w14:paraId="4B483C9E" w14:textId="77777777" w:rsidR="008B7276" w:rsidRPr="001260B8" w:rsidRDefault="008B7276" w:rsidP="0036141E">
      <w:pPr>
        <w:shd w:val="clear" w:color="auto" w:fill="FFFFFF"/>
        <w:spacing w:after="0" w:line="240" w:lineRule="auto"/>
        <w:ind w:left="567" w:right="566"/>
        <w:jc w:val="both"/>
        <w:rPr>
          <w:rFonts w:ascii="Tenorite" w:hAnsi="Tenorite"/>
          <w:sz w:val="20"/>
          <w:szCs w:val="20"/>
        </w:rPr>
      </w:pPr>
    </w:p>
    <w:p w14:paraId="0ED2AB02" w14:textId="77777777" w:rsidR="00850FC1" w:rsidRPr="001260B8" w:rsidRDefault="00850FC1" w:rsidP="0036141E">
      <w:pPr>
        <w:shd w:val="clear" w:color="auto" w:fill="FFFFFF"/>
        <w:spacing w:after="0" w:line="240" w:lineRule="auto"/>
        <w:ind w:left="567" w:right="566"/>
        <w:jc w:val="both"/>
        <w:rPr>
          <w:rFonts w:ascii="Tenorite" w:hAnsi="Tenorite"/>
          <w:sz w:val="20"/>
          <w:szCs w:val="20"/>
        </w:rPr>
      </w:pPr>
      <w:hyperlink r:id="rId54"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délégué (UE) 2024/2867 de la Commission du 2 septembre 2024 modifiant le règlement (UE) 2018/848 du Parlement européen et du Conseil en ce qui concerne la présentation du </w:t>
      </w:r>
      <w:r w:rsidRPr="001260B8">
        <w:rPr>
          <w:rFonts w:ascii="Tenorite" w:hAnsi="Tenorite"/>
          <w:b/>
          <w:bCs/>
          <w:sz w:val="20"/>
          <w:szCs w:val="20"/>
        </w:rPr>
        <w:t>logo de production biologique</w:t>
      </w:r>
      <w:r w:rsidRPr="001260B8">
        <w:rPr>
          <w:rFonts w:ascii="Tenorite" w:hAnsi="Tenorite"/>
          <w:sz w:val="20"/>
          <w:szCs w:val="20"/>
        </w:rPr>
        <w:t xml:space="preserve"> de l’Union européenne (JOUE </w:t>
      </w:r>
      <w:r w:rsidRPr="00211ED3">
        <w:rPr>
          <w:rFonts w:ascii="Tenorite" w:hAnsi="Tenorite"/>
          <w:sz w:val="20"/>
          <w:szCs w:val="20"/>
        </w:rPr>
        <w:t>11/11/2024)</w:t>
      </w:r>
      <w:r w:rsidRPr="00211ED3">
        <w:rPr>
          <w:rFonts w:ascii="Tenorite" w:hAnsi="Tenorite"/>
          <w:sz w:val="20"/>
          <w:szCs w:val="20"/>
        </w:rPr>
        <w:br/>
      </w:r>
      <w:r w:rsidRPr="00211ED3">
        <w:rPr>
          <w:rFonts w:ascii="Tenorite" w:hAnsi="Tenorite"/>
          <w:sz w:val="20"/>
          <w:szCs w:val="20"/>
        </w:rPr>
        <w:br/>
      </w:r>
      <w:hyperlink r:id="rId55" w:history="1">
        <w:r w:rsidRPr="001260B8">
          <w:rPr>
            <w:rStyle w:val="Lienhypertexte"/>
            <w:rFonts w:ascii="Tenorite" w:hAnsi="Tenorite"/>
            <w:color w:val="auto"/>
            <w:sz w:val="20"/>
            <w:szCs w:val="20"/>
          </w:rPr>
          <w:t>Règlement</w:t>
        </w:r>
      </w:hyperlink>
      <w:r w:rsidRPr="001260B8">
        <w:rPr>
          <w:rFonts w:ascii="Tenorite" w:hAnsi="Tenorite"/>
          <w:sz w:val="20"/>
          <w:szCs w:val="20"/>
        </w:rPr>
        <w:t xml:space="preserve"> délégué (UE) 2024/2975 de la Commission du 25 septembre 2024 modifiant les règlements délégués (UE) 2021/1698 et (UE) 2021/2306 en ce qui concerne l’importation dans l’Union de produits biologiques et en conversion à haut risque (JOUE 29/11/2024)</w:t>
      </w:r>
      <w:r w:rsidRPr="001260B8">
        <w:rPr>
          <w:rFonts w:ascii="Tenorite" w:hAnsi="Tenorite"/>
          <w:sz w:val="20"/>
          <w:szCs w:val="20"/>
        </w:rPr>
        <w:br/>
      </w:r>
    </w:p>
    <w:p w14:paraId="0CC1CD95" w14:textId="77777777" w:rsidR="00513F68" w:rsidRPr="001260B8" w:rsidRDefault="00513F68" w:rsidP="0036141E">
      <w:pPr>
        <w:shd w:val="clear" w:color="auto" w:fill="FFFFFF"/>
        <w:spacing w:after="0" w:line="240" w:lineRule="auto"/>
        <w:ind w:left="567" w:right="566"/>
        <w:jc w:val="both"/>
        <w:rPr>
          <w:rFonts w:ascii="Tenorite" w:hAnsi="Tenorite"/>
          <w:sz w:val="20"/>
          <w:szCs w:val="20"/>
        </w:rPr>
      </w:pPr>
      <w:hyperlink r:id="rId56" w:history="1">
        <w:r w:rsidRPr="001260B8">
          <w:rPr>
            <w:rStyle w:val="Lienhypertexte"/>
            <w:rFonts w:ascii="Tenorite" w:hAnsi="Tenorite"/>
            <w:color w:val="auto"/>
            <w:sz w:val="20"/>
            <w:szCs w:val="20"/>
          </w:rPr>
          <w:t>Décret</w:t>
        </w:r>
      </w:hyperlink>
      <w:r w:rsidRPr="001260B8">
        <w:rPr>
          <w:rFonts w:ascii="Tenorite" w:hAnsi="Tenorite"/>
          <w:sz w:val="20"/>
          <w:szCs w:val="20"/>
        </w:rPr>
        <w:t xml:space="preserve"> n° 2024-1247 du 30 décembre 2024 relatif au mode de production biologique des produits agricoles et à leur étiquetage (JORF 31/12/2024)</w:t>
      </w:r>
    </w:p>
    <w:p w14:paraId="148EDD69" w14:textId="77777777" w:rsidR="00513F68" w:rsidRPr="001260B8" w:rsidRDefault="00513F68" w:rsidP="0036141E">
      <w:pPr>
        <w:shd w:val="clear" w:color="auto" w:fill="FFFFFF"/>
        <w:spacing w:after="0" w:line="240" w:lineRule="auto"/>
        <w:ind w:left="567" w:right="566"/>
        <w:jc w:val="both"/>
        <w:rPr>
          <w:rFonts w:ascii="Tenorite" w:hAnsi="Tenorite"/>
          <w:sz w:val="20"/>
          <w:szCs w:val="20"/>
        </w:rPr>
      </w:pPr>
    </w:p>
    <w:p w14:paraId="01F88960" w14:textId="77777777" w:rsidR="00513F68" w:rsidRPr="001260B8" w:rsidRDefault="00513F68" w:rsidP="0036141E">
      <w:pPr>
        <w:shd w:val="clear" w:color="auto" w:fill="FFFFFF"/>
        <w:spacing w:after="0" w:line="240" w:lineRule="auto"/>
        <w:ind w:left="567" w:right="566"/>
        <w:jc w:val="both"/>
        <w:rPr>
          <w:rFonts w:ascii="Tenorite" w:hAnsi="Tenorite"/>
          <w:sz w:val="20"/>
          <w:szCs w:val="20"/>
          <w:shd w:val="clear" w:color="auto" w:fill="FFFFFF"/>
        </w:rPr>
      </w:pPr>
      <w:hyperlink r:id="rId57" w:history="1">
        <w:r w:rsidRPr="001260B8">
          <w:rPr>
            <w:rStyle w:val="Lienhypertexte"/>
            <w:rFonts w:ascii="Tenorite" w:hAnsi="Tenorite"/>
            <w:color w:val="auto"/>
            <w:sz w:val="20"/>
            <w:szCs w:val="20"/>
            <w:shd w:val="clear" w:color="auto" w:fill="FFFFFF"/>
          </w:rPr>
          <w:t>Règlement</w:t>
        </w:r>
      </w:hyperlink>
      <w:r w:rsidRPr="001260B8">
        <w:rPr>
          <w:rFonts w:ascii="Tenorite" w:hAnsi="Tenorite"/>
          <w:sz w:val="20"/>
          <w:szCs w:val="20"/>
          <w:shd w:val="clear" w:color="auto" w:fill="FFFFFF"/>
        </w:rPr>
        <w:t xml:space="preserve"> délégué (UE) 2024/3095 de la Commission du 29 juillet 2024 modifiant le règlement délégué (UE) 2021/1698 en ce qui concerne la certification de certains opérateurs et groupes d’opérateurs dans des pays tiers ainsi que les contrôles effectués sur leurs produits biologiques par les autorités et organismes de contrôle (JOUE 09/12/2024)</w:t>
      </w:r>
    </w:p>
    <w:p w14:paraId="2C110B67" w14:textId="77777777" w:rsidR="00513F68" w:rsidRPr="001260B8" w:rsidRDefault="00513F68" w:rsidP="0036141E">
      <w:pPr>
        <w:shd w:val="clear" w:color="auto" w:fill="FFFFFF"/>
        <w:spacing w:after="0" w:line="240" w:lineRule="auto"/>
        <w:ind w:left="567" w:right="566"/>
        <w:jc w:val="both"/>
        <w:rPr>
          <w:rFonts w:ascii="Tenorite" w:hAnsi="Tenorite"/>
          <w:sz w:val="20"/>
          <w:szCs w:val="20"/>
          <w:shd w:val="clear" w:color="auto" w:fill="FFFFFF"/>
        </w:rPr>
      </w:pPr>
    </w:p>
    <w:p w14:paraId="36BADCDA" w14:textId="77777777" w:rsidR="00513F68" w:rsidRPr="001260B8" w:rsidRDefault="00513F68" w:rsidP="0036141E">
      <w:pPr>
        <w:shd w:val="clear" w:color="auto" w:fill="FFFFFF"/>
        <w:spacing w:after="0" w:line="240" w:lineRule="auto"/>
        <w:ind w:left="567" w:right="566"/>
        <w:jc w:val="both"/>
        <w:rPr>
          <w:rFonts w:ascii="Tenorite" w:hAnsi="Tenorite"/>
          <w:sz w:val="20"/>
          <w:szCs w:val="20"/>
          <w:shd w:val="clear" w:color="auto" w:fill="FFFFFF"/>
        </w:rPr>
      </w:pPr>
      <w:hyperlink r:id="rId58" w:history="1">
        <w:r w:rsidRPr="001260B8">
          <w:rPr>
            <w:rStyle w:val="Lienhypertexte"/>
            <w:rFonts w:ascii="Tenorite" w:hAnsi="Tenorite"/>
            <w:color w:val="auto"/>
            <w:sz w:val="20"/>
            <w:szCs w:val="20"/>
            <w:shd w:val="clear" w:color="auto" w:fill="FFFFFF"/>
          </w:rPr>
          <w:t>Règlement</w:t>
        </w:r>
      </w:hyperlink>
      <w:r w:rsidRPr="001260B8">
        <w:rPr>
          <w:rFonts w:ascii="Tenorite" w:hAnsi="Tenorite"/>
          <w:sz w:val="20"/>
          <w:szCs w:val="20"/>
          <w:shd w:val="clear" w:color="auto" w:fill="FFFFFF"/>
        </w:rPr>
        <w:t xml:space="preserve"> d’exécution (UE) 2024/3121 de la Commission du 16 décembre 2024 modifiant le règlement d’exécution (UE) 2021/1378 de la Commission en ce qui concerne la reconnaissance, conformément à l’article 46 du règlement (UE) 2018/848 du Parlement européen et du Conseil, de certains organismes de contrôle comme ayant compétence pour effectuer les contrôles et délivrer des certificats biologiques dans les pays tiers aux fins des importations de produits biologiques dans l’Union (JOUE 17/12/2024)</w:t>
      </w:r>
    </w:p>
    <w:p w14:paraId="004E32DE" w14:textId="77777777" w:rsidR="005F3EA3" w:rsidRPr="005F3EA3" w:rsidRDefault="005F3EA3" w:rsidP="0036141E">
      <w:pPr>
        <w:spacing w:after="0" w:line="240" w:lineRule="auto"/>
        <w:ind w:left="567" w:right="566" w:hanging="142"/>
        <w:rPr>
          <w:rFonts w:ascii="Tenorite" w:hAnsi="Tenorite"/>
          <w:b/>
        </w:rPr>
      </w:pPr>
    </w:p>
    <w:p w14:paraId="415BEA78" w14:textId="77777777" w:rsidR="002B7CB6" w:rsidRPr="005F3EA3" w:rsidRDefault="002B7CB6" w:rsidP="0036141E">
      <w:pPr>
        <w:shd w:val="clear" w:color="auto" w:fill="D9D9D9" w:themeFill="background1" w:themeFillShade="D9"/>
        <w:spacing w:after="0" w:line="240" w:lineRule="auto"/>
        <w:ind w:left="567" w:right="566" w:hanging="142"/>
        <w:rPr>
          <w:rFonts w:ascii="Tenorite" w:hAnsi="Tenorite"/>
          <w:b/>
          <w:color w:val="833C0B" w:themeColor="accent2" w:themeShade="80"/>
          <w:sz w:val="24"/>
        </w:rPr>
      </w:pPr>
      <w:r w:rsidRPr="005F3EA3">
        <w:rPr>
          <w:rFonts w:ascii="Tenorite" w:hAnsi="Tenorite"/>
          <w:b/>
          <w:color w:val="833C0B" w:themeColor="accent2" w:themeShade="80"/>
          <w:sz w:val="24"/>
        </w:rPr>
        <w:t>TRAITEMENTS DE CONSERVATION</w:t>
      </w:r>
    </w:p>
    <w:p w14:paraId="72ACAB2C" w14:textId="070E9C2B" w:rsidR="00D025D4" w:rsidRPr="005F3EA3" w:rsidRDefault="008E4A87" w:rsidP="0036141E">
      <w:pPr>
        <w:tabs>
          <w:tab w:val="left" w:pos="4785"/>
        </w:tabs>
        <w:spacing w:after="0" w:line="240" w:lineRule="auto"/>
        <w:ind w:left="567" w:right="566"/>
        <w:rPr>
          <w:rFonts w:ascii="Tenorite" w:hAnsi="Tenorite"/>
        </w:rPr>
      </w:pPr>
      <w:r>
        <w:rPr>
          <w:rFonts w:ascii="Tenorite" w:hAnsi="Tenorite"/>
        </w:rPr>
        <w:t>/</w:t>
      </w:r>
      <w:r w:rsidR="00D025D4" w:rsidRPr="005F3EA3">
        <w:rPr>
          <w:rFonts w:ascii="Tenorite" w:hAnsi="Tenorite"/>
        </w:rPr>
        <w:tab/>
      </w:r>
    </w:p>
    <w:p w14:paraId="652FAA4C" w14:textId="77777777" w:rsidR="00D025D4" w:rsidRPr="005F3EA3" w:rsidRDefault="00D025D4" w:rsidP="0036141E">
      <w:pPr>
        <w:spacing w:after="0" w:line="240" w:lineRule="auto"/>
        <w:ind w:left="567" w:right="566" w:hanging="283"/>
        <w:rPr>
          <w:rFonts w:ascii="Tenorite" w:hAnsi="Tenorite" w:cs="Tahoma"/>
          <w:b/>
          <w:color w:val="EF671A"/>
          <w:sz w:val="8"/>
          <w:szCs w:val="8"/>
          <w:u w:val="single"/>
        </w:rPr>
      </w:pPr>
    </w:p>
    <w:p w14:paraId="70A5146D" w14:textId="77777777" w:rsidR="00D025D4" w:rsidRPr="002D342B" w:rsidRDefault="00D025D4" w:rsidP="0036141E">
      <w:pPr>
        <w:spacing w:after="0" w:line="240" w:lineRule="auto"/>
        <w:ind w:left="567" w:right="566" w:hanging="283"/>
        <w:rPr>
          <w:rFonts w:ascii="Tenorite" w:hAnsi="Tenorite" w:cs="Tahoma"/>
          <w:b/>
          <w:color w:val="EF671A"/>
          <w:sz w:val="24"/>
          <w:szCs w:val="24"/>
          <w:u w:val="single"/>
        </w:rPr>
      </w:pPr>
      <w:r w:rsidRPr="005F3EA3">
        <w:rPr>
          <w:rFonts w:ascii="Tenorite" w:hAnsi="Tenorite" w:cs="Tahoma"/>
          <w:b/>
          <w:color w:val="EF671A"/>
          <w:sz w:val="32"/>
          <w:szCs w:val="32"/>
          <w:u w:val="single"/>
        </w:rPr>
        <w:lastRenderedPageBreak/>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39BCDC7C" w14:textId="77777777" w:rsidR="00D025D4" w:rsidRPr="005F3EA3" w:rsidRDefault="00D025D4" w:rsidP="0036141E">
      <w:pPr>
        <w:shd w:val="clear" w:color="auto" w:fill="D9D9D9" w:themeFill="background1" w:themeFillShade="D9"/>
        <w:spacing w:after="0" w:line="240" w:lineRule="auto"/>
        <w:ind w:left="567" w:right="566" w:hanging="283"/>
        <w:rPr>
          <w:rFonts w:ascii="Tenorite" w:hAnsi="Tenorite"/>
          <w:b/>
        </w:rPr>
      </w:pPr>
      <w:r w:rsidRPr="005F3EA3">
        <w:rPr>
          <w:rFonts w:ascii="Tenorite" w:hAnsi="Tenorite"/>
          <w:b/>
          <w:color w:val="833C0B" w:themeColor="accent2" w:themeShade="80"/>
          <w:sz w:val="24"/>
          <w:szCs w:val="24"/>
        </w:rPr>
        <w:t>FRUITS ET LEGUMES - VEGETAUX</w:t>
      </w:r>
    </w:p>
    <w:p w14:paraId="00A19CDF" w14:textId="77777777" w:rsidR="00642D6C" w:rsidRPr="001260B8" w:rsidRDefault="00642D6C" w:rsidP="0036141E">
      <w:pPr>
        <w:shd w:val="clear" w:color="auto" w:fill="FFFFFF"/>
        <w:spacing w:after="0" w:line="240" w:lineRule="auto"/>
        <w:ind w:left="567" w:right="566"/>
        <w:jc w:val="both"/>
        <w:rPr>
          <w:rFonts w:ascii="Tenorite" w:eastAsia="Times New Roman" w:hAnsi="Tenorite" w:cs="Times New Roman"/>
          <w:sz w:val="20"/>
          <w:szCs w:val="20"/>
          <w:lang w:eastAsia="fr-FR"/>
        </w:rPr>
      </w:pPr>
      <w:hyperlink r:id="rId59" w:history="1">
        <w:r w:rsidRPr="001260B8">
          <w:rPr>
            <w:rStyle w:val="Lienhypertexte"/>
            <w:rFonts w:ascii="Tenorite" w:eastAsia="Times New Roman" w:hAnsi="Tenorite" w:cs="Times New Roman"/>
            <w:color w:val="auto"/>
            <w:sz w:val="20"/>
            <w:szCs w:val="20"/>
            <w:lang w:eastAsia="fr-FR"/>
          </w:rPr>
          <w:t>Règlement</w:t>
        </w:r>
      </w:hyperlink>
      <w:r w:rsidRPr="001260B8">
        <w:rPr>
          <w:rFonts w:ascii="Tenorite" w:eastAsia="Times New Roman" w:hAnsi="Tenorite" w:cs="Times New Roman"/>
          <w:sz w:val="20"/>
          <w:szCs w:val="20"/>
          <w:lang w:eastAsia="fr-FR"/>
        </w:rPr>
        <w:t xml:space="preserve"> d’exécution (UE) 2024/3163 de la Commission du 18 décembre 2024 modifiant l’annexe du règlement d’exécution (UE) 2023/2059 en ce qui concerne l’inscription de certains biens d’origine végétale sur la liste des produits provenant du reste du monde (JOUE 19/12/2024)</w:t>
      </w:r>
    </w:p>
    <w:p w14:paraId="48555606" w14:textId="77777777" w:rsidR="008C31CF" w:rsidRPr="005F3EA3" w:rsidRDefault="008C31CF" w:rsidP="0036141E">
      <w:pPr>
        <w:spacing w:after="0" w:line="240" w:lineRule="auto"/>
        <w:ind w:left="567" w:right="566"/>
        <w:rPr>
          <w:rFonts w:ascii="Tenorite" w:hAnsi="Tenorite"/>
          <w:color w:val="C45911" w:themeColor="accent2" w:themeShade="BF"/>
          <w:sz w:val="20"/>
          <w:szCs w:val="18"/>
        </w:rPr>
      </w:pPr>
    </w:p>
    <w:p w14:paraId="2FD03CA8" w14:textId="77777777" w:rsidR="00C871A3" w:rsidRPr="005F3EA3" w:rsidRDefault="00C871A3" w:rsidP="0036141E">
      <w:pPr>
        <w:spacing w:after="0" w:line="240" w:lineRule="auto"/>
        <w:ind w:left="567" w:right="566"/>
        <w:rPr>
          <w:rFonts w:ascii="Tenorite" w:hAnsi="Tenorite"/>
          <w:color w:val="C45911" w:themeColor="accent2" w:themeShade="BF"/>
          <w:sz w:val="20"/>
        </w:rPr>
      </w:pPr>
      <w:r w:rsidRPr="005F3EA3">
        <w:rPr>
          <w:rFonts w:ascii="Tenorite" w:hAnsi="Tenorite"/>
          <w:color w:val="C45911" w:themeColor="accent2" w:themeShade="BF"/>
          <w:sz w:val="20"/>
        </w:rPr>
        <w:t>Maladies des végétaux</w:t>
      </w:r>
    </w:p>
    <w:p w14:paraId="22B79C55" w14:textId="77777777" w:rsidR="008B7276" w:rsidRPr="001260B8" w:rsidRDefault="008B7276" w:rsidP="0036141E">
      <w:pPr>
        <w:shd w:val="clear" w:color="auto" w:fill="FFFFFF"/>
        <w:spacing w:after="0" w:line="240" w:lineRule="auto"/>
        <w:ind w:left="567" w:right="566"/>
        <w:jc w:val="both"/>
        <w:rPr>
          <w:rFonts w:ascii="Tenorite" w:hAnsi="Tenorite"/>
          <w:sz w:val="20"/>
          <w:szCs w:val="20"/>
        </w:rPr>
      </w:pPr>
      <w:r w:rsidRPr="001260B8">
        <w:rPr>
          <w:rFonts w:ascii="Tenorite" w:hAnsi="Tenorite"/>
          <w:b/>
          <w:bCs/>
          <w:sz w:val="20"/>
          <w:szCs w:val="20"/>
        </w:rPr>
        <w:t>Instruction technique </w:t>
      </w:r>
      <w:hyperlink r:id="rId60" w:history="1">
        <w:r w:rsidRPr="001260B8">
          <w:rPr>
            <w:rStyle w:val="Lienhypertexte"/>
            <w:rFonts w:ascii="Tenorite" w:hAnsi="Tenorite"/>
            <w:color w:val="auto"/>
            <w:sz w:val="20"/>
            <w:szCs w:val="20"/>
          </w:rPr>
          <w:t>DGAL/SDSPV/2024-614</w:t>
        </w:r>
      </w:hyperlink>
      <w:r w:rsidRPr="001260B8">
        <w:rPr>
          <w:rFonts w:ascii="Tenorite" w:hAnsi="Tenorite"/>
          <w:sz w:val="20"/>
          <w:szCs w:val="20"/>
        </w:rPr>
        <w:t xml:space="preserve"> du 08-11-2024 - Méthode officielle d'analyse ANSES/LSV/MA073 relative à la détection des </w:t>
      </w:r>
      <w:proofErr w:type="spellStart"/>
      <w:r w:rsidRPr="001260B8">
        <w:rPr>
          <w:rFonts w:ascii="Tenorite" w:hAnsi="Tenorite"/>
          <w:sz w:val="20"/>
          <w:szCs w:val="20"/>
        </w:rPr>
        <w:t>begomovirus</w:t>
      </w:r>
      <w:proofErr w:type="spellEnd"/>
      <w:r w:rsidRPr="001260B8">
        <w:rPr>
          <w:rFonts w:ascii="Tenorite" w:hAnsi="Tenorite"/>
          <w:sz w:val="20"/>
          <w:szCs w:val="20"/>
        </w:rPr>
        <w:t xml:space="preserve"> par PCR conventionnelle sur végétal en dehors de la </w:t>
      </w:r>
      <w:r w:rsidRPr="001260B8">
        <w:rPr>
          <w:rFonts w:ascii="Tenorite" w:hAnsi="Tenorite"/>
          <w:b/>
          <w:bCs/>
          <w:sz w:val="20"/>
          <w:szCs w:val="20"/>
        </w:rPr>
        <w:t>pomme de terre</w:t>
      </w:r>
      <w:r w:rsidRPr="001260B8">
        <w:rPr>
          <w:rFonts w:ascii="Tenorite" w:hAnsi="Tenorite"/>
          <w:sz w:val="20"/>
          <w:szCs w:val="20"/>
        </w:rPr>
        <w:t>. (DGAL)</w:t>
      </w:r>
    </w:p>
    <w:p w14:paraId="53EF8508" w14:textId="77777777" w:rsidR="008B7276" w:rsidRPr="001260B8" w:rsidRDefault="008B7276" w:rsidP="0036141E">
      <w:pPr>
        <w:shd w:val="clear" w:color="auto" w:fill="FFFFFF"/>
        <w:spacing w:after="0" w:line="240" w:lineRule="auto"/>
        <w:ind w:left="567" w:right="566"/>
        <w:jc w:val="both"/>
        <w:rPr>
          <w:rFonts w:ascii="Tenorite" w:hAnsi="Tenorite"/>
          <w:sz w:val="20"/>
          <w:szCs w:val="20"/>
        </w:rPr>
      </w:pPr>
    </w:p>
    <w:p w14:paraId="78F5209F" w14:textId="77777777" w:rsidR="008B7276" w:rsidRPr="001260B8" w:rsidRDefault="008B7276" w:rsidP="0036141E">
      <w:pPr>
        <w:shd w:val="clear" w:color="auto" w:fill="FFFFFF"/>
        <w:spacing w:after="0" w:line="240" w:lineRule="auto"/>
        <w:ind w:left="567" w:right="566"/>
        <w:jc w:val="both"/>
        <w:rPr>
          <w:rFonts w:ascii="Tenorite" w:hAnsi="Tenorite"/>
          <w:sz w:val="20"/>
          <w:szCs w:val="20"/>
        </w:rPr>
      </w:pPr>
      <w:r w:rsidRPr="001260B8">
        <w:rPr>
          <w:rFonts w:ascii="Tenorite" w:hAnsi="Tenorite"/>
          <w:b/>
          <w:bCs/>
          <w:sz w:val="20"/>
          <w:szCs w:val="20"/>
        </w:rPr>
        <w:t>Instruction technique </w:t>
      </w:r>
      <w:hyperlink r:id="rId61" w:history="1">
        <w:r w:rsidRPr="001260B8">
          <w:rPr>
            <w:rStyle w:val="Lienhypertexte"/>
            <w:rFonts w:ascii="Tenorite" w:hAnsi="Tenorite"/>
            <w:color w:val="auto"/>
            <w:sz w:val="20"/>
            <w:szCs w:val="20"/>
          </w:rPr>
          <w:t>DGAL/SDSPV/2024-615</w:t>
        </w:r>
      </w:hyperlink>
      <w:r w:rsidRPr="001260B8">
        <w:rPr>
          <w:rFonts w:ascii="Tenorite" w:hAnsi="Tenorite"/>
          <w:sz w:val="20"/>
          <w:szCs w:val="20"/>
        </w:rPr>
        <w:t xml:space="preserve"> du 08-11-2024 - Méthode officielle d'analyse ANSES/LSV/MA079 relative à l’identification de </w:t>
      </w:r>
      <w:proofErr w:type="spellStart"/>
      <w:r w:rsidRPr="001260B8">
        <w:rPr>
          <w:rFonts w:ascii="Tenorite" w:hAnsi="Tenorite"/>
          <w:sz w:val="20"/>
          <w:szCs w:val="20"/>
        </w:rPr>
        <w:t>Nacobbus</w:t>
      </w:r>
      <w:proofErr w:type="spellEnd"/>
      <w:r w:rsidRPr="001260B8">
        <w:rPr>
          <w:rFonts w:ascii="Tenorite" w:hAnsi="Tenorite"/>
          <w:sz w:val="20"/>
          <w:szCs w:val="20"/>
        </w:rPr>
        <w:t xml:space="preserve"> </w:t>
      </w:r>
      <w:proofErr w:type="spellStart"/>
      <w:r w:rsidRPr="001260B8">
        <w:rPr>
          <w:rFonts w:ascii="Tenorite" w:hAnsi="Tenorite"/>
          <w:sz w:val="20"/>
          <w:szCs w:val="20"/>
        </w:rPr>
        <w:t>aberrans</w:t>
      </w:r>
      <w:proofErr w:type="spellEnd"/>
      <w:r w:rsidRPr="001260B8">
        <w:rPr>
          <w:rFonts w:ascii="Tenorite" w:hAnsi="Tenorite"/>
          <w:sz w:val="20"/>
          <w:szCs w:val="20"/>
        </w:rPr>
        <w:t xml:space="preserve"> par analyse biomoléculaire (DGAL)</w:t>
      </w:r>
    </w:p>
    <w:p w14:paraId="4B21984C" w14:textId="77777777" w:rsidR="00642D6C" w:rsidRPr="001260B8" w:rsidRDefault="00642D6C" w:rsidP="0036141E">
      <w:pPr>
        <w:shd w:val="clear" w:color="auto" w:fill="FFFFFF"/>
        <w:spacing w:after="0" w:line="240" w:lineRule="auto"/>
        <w:ind w:left="567" w:right="566"/>
        <w:jc w:val="both"/>
        <w:rPr>
          <w:rFonts w:ascii="Tenorite" w:hAnsi="Tenorite"/>
          <w:sz w:val="20"/>
          <w:szCs w:val="20"/>
        </w:rPr>
      </w:pPr>
    </w:p>
    <w:p w14:paraId="0D973C8E" w14:textId="77777777" w:rsidR="00642D6C" w:rsidRPr="001260B8" w:rsidRDefault="00642D6C" w:rsidP="0036141E">
      <w:pPr>
        <w:shd w:val="clear" w:color="auto" w:fill="FFFFFF"/>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62" w:history="1">
        <w:r w:rsidRPr="001260B8">
          <w:rPr>
            <w:rFonts w:ascii="Tenorite" w:eastAsia="Times New Roman" w:hAnsi="Tenorite" w:cs="Times New Roman"/>
            <w:sz w:val="20"/>
            <w:szCs w:val="20"/>
            <w:u w:val="single"/>
            <w:lang w:eastAsia="fr-FR"/>
          </w:rPr>
          <w:t>DGAL/SDSPV/2024-656</w:t>
        </w:r>
      </w:hyperlink>
      <w:r w:rsidRPr="001260B8">
        <w:rPr>
          <w:rFonts w:ascii="Tenorite" w:eastAsia="Times New Roman" w:hAnsi="Tenorite" w:cs="Times New Roman"/>
          <w:sz w:val="20"/>
          <w:szCs w:val="20"/>
          <w:lang w:eastAsia="fr-FR"/>
        </w:rPr>
        <w:t xml:space="preserve"> du 02-12-2024 - Méthode officielle d'analyse M-GEVES/SV/MO/007 relative à la détection et à l’identification de </w:t>
      </w:r>
      <w:proofErr w:type="spellStart"/>
      <w:r w:rsidRPr="001260B8">
        <w:rPr>
          <w:rFonts w:ascii="Tenorite" w:eastAsia="Times New Roman" w:hAnsi="Tenorite" w:cs="Times New Roman"/>
          <w:sz w:val="20"/>
          <w:szCs w:val="20"/>
          <w:lang w:eastAsia="fr-FR"/>
        </w:rPr>
        <w:t>Bruchus</w:t>
      </w:r>
      <w:proofErr w:type="spellEnd"/>
      <w:r w:rsidRPr="001260B8">
        <w:rPr>
          <w:rFonts w:ascii="Tenorite" w:eastAsia="Times New Roman" w:hAnsi="Tenorite" w:cs="Times New Roman"/>
          <w:sz w:val="20"/>
          <w:szCs w:val="20"/>
          <w:lang w:eastAsia="fr-FR"/>
        </w:rPr>
        <w:t xml:space="preserve"> </w:t>
      </w:r>
      <w:proofErr w:type="spellStart"/>
      <w:r w:rsidRPr="001260B8">
        <w:rPr>
          <w:rFonts w:ascii="Tenorite" w:eastAsia="Times New Roman" w:hAnsi="Tenorite" w:cs="Times New Roman"/>
          <w:sz w:val="20"/>
          <w:szCs w:val="20"/>
          <w:lang w:eastAsia="fr-FR"/>
        </w:rPr>
        <w:t>pisorum</w:t>
      </w:r>
      <w:proofErr w:type="spellEnd"/>
      <w:r w:rsidRPr="001260B8">
        <w:rPr>
          <w:rFonts w:ascii="Tenorite" w:eastAsia="Times New Roman" w:hAnsi="Tenorite" w:cs="Times New Roman"/>
          <w:sz w:val="20"/>
          <w:szCs w:val="20"/>
          <w:lang w:eastAsia="fr-FR"/>
        </w:rPr>
        <w:t xml:space="preserve"> sur semences de pois (</w:t>
      </w:r>
      <w:proofErr w:type="spellStart"/>
      <w:r w:rsidRPr="001260B8">
        <w:rPr>
          <w:rFonts w:ascii="Tenorite" w:eastAsia="Times New Roman" w:hAnsi="Tenorite" w:cs="Times New Roman"/>
          <w:sz w:val="20"/>
          <w:szCs w:val="20"/>
          <w:lang w:eastAsia="fr-FR"/>
        </w:rPr>
        <w:t>Pisum</w:t>
      </w:r>
      <w:proofErr w:type="spellEnd"/>
      <w:r w:rsidRPr="001260B8">
        <w:rPr>
          <w:rFonts w:ascii="Tenorite" w:eastAsia="Times New Roman" w:hAnsi="Tenorite" w:cs="Times New Roman"/>
          <w:sz w:val="20"/>
          <w:szCs w:val="20"/>
          <w:lang w:eastAsia="fr-FR"/>
        </w:rPr>
        <w:t xml:space="preserve"> </w:t>
      </w:r>
      <w:proofErr w:type="spellStart"/>
      <w:r w:rsidRPr="001260B8">
        <w:rPr>
          <w:rFonts w:ascii="Tenorite" w:eastAsia="Times New Roman" w:hAnsi="Tenorite" w:cs="Times New Roman"/>
          <w:sz w:val="20"/>
          <w:szCs w:val="20"/>
          <w:lang w:eastAsia="fr-FR"/>
        </w:rPr>
        <w:t>sativum</w:t>
      </w:r>
      <w:proofErr w:type="spellEnd"/>
      <w:r w:rsidRPr="001260B8">
        <w:rPr>
          <w:rFonts w:ascii="Tenorite" w:eastAsia="Times New Roman" w:hAnsi="Tenorite" w:cs="Times New Roman"/>
          <w:sz w:val="20"/>
          <w:szCs w:val="20"/>
          <w:lang w:eastAsia="fr-FR"/>
        </w:rPr>
        <w:t xml:space="preserve">), de </w:t>
      </w:r>
      <w:proofErr w:type="spellStart"/>
      <w:r w:rsidRPr="001260B8">
        <w:rPr>
          <w:rFonts w:ascii="Tenorite" w:eastAsia="Times New Roman" w:hAnsi="Tenorite" w:cs="Times New Roman"/>
          <w:sz w:val="20"/>
          <w:szCs w:val="20"/>
          <w:lang w:eastAsia="fr-FR"/>
        </w:rPr>
        <w:t>Bruchus</w:t>
      </w:r>
      <w:proofErr w:type="spellEnd"/>
      <w:r w:rsidRPr="001260B8">
        <w:rPr>
          <w:rFonts w:ascii="Tenorite" w:eastAsia="Times New Roman" w:hAnsi="Tenorite" w:cs="Times New Roman"/>
          <w:sz w:val="20"/>
          <w:szCs w:val="20"/>
          <w:lang w:eastAsia="fr-FR"/>
        </w:rPr>
        <w:t xml:space="preserve"> </w:t>
      </w:r>
      <w:proofErr w:type="spellStart"/>
      <w:r w:rsidRPr="001260B8">
        <w:rPr>
          <w:rFonts w:ascii="Tenorite" w:eastAsia="Times New Roman" w:hAnsi="Tenorite" w:cs="Times New Roman"/>
          <w:sz w:val="20"/>
          <w:szCs w:val="20"/>
          <w:lang w:eastAsia="fr-FR"/>
        </w:rPr>
        <w:t>rufimanus</w:t>
      </w:r>
      <w:proofErr w:type="spellEnd"/>
      <w:r w:rsidRPr="001260B8">
        <w:rPr>
          <w:rFonts w:ascii="Tenorite" w:eastAsia="Times New Roman" w:hAnsi="Tenorite" w:cs="Times New Roman"/>
          <w:sz w:val="20"/>
          <w:szCs w:val="20"/>
          <w:lang w:eastAsia="fr-FR"/>
        </w:rPr>
        <w:t xml:space="preserve"> sur semences de fève (Vicia </w:t>
      </w:r>
      <w:proofErr w:type="spellStart"/>
      <w:r w:rsidRPr="001260B8">
        <w:rPr>
          <w:rFonts w:ascii="Tenorite" w:eastAsia="Times New Roman" w:hAnsi="Tenorite" w:cs="Times New Roman"/>
          <w:sz w:val="20"/>
          <w:szCs w:val="20"/>
          <w:lang w:eastAsia="fr-FR"/>
        </w:rPr>
        <w:t>faba</w:t>
      </w:r>
      <w:proofErr w:type="spellEnd"/>
      <w:r w:rsidRPr="001260B8">
        <w:rPr>
          <w:rFonts w:ascii="Tenorite" w:eastAsia="Times New Roman" w:hAnsi="Tenorite" w:cs="Times New Roman"/>
          <w:sz w:val="20"/>
          <w:szCs w:val="20"/>
          <w:lang w:eastAsia="fr-FR"/>
        </w:rPr>
        <w:t>) et d’</w:t>
      </w:r>
      <w:proofErr w:type="spellStart"/>
      <w:r w:rsidRPr="001260B8">
        <w:rPr>
          <w:rFonts w:ascii="Tenorite" w:eastAsia="Times New Roman" w:hAnsi="Tenorite" w:cs="Times New Roman"/>
          <w:sz w:val="20"/>
          <w:szCs w:val="20"/>
          <w:lang w:eastAsia="fr-FR"/>
        </w:rPr>
        <w:t>Acanthoscelides</w:t>
      </w:r>
      <w:proofErr w:type="spellEnd"/>
      <w:r w:rsidRPr="001260B8">
        <w:rPr>
          <w:rFonts w:ascii="Tenorite" w:eastAsia="Times New Roman" w:hAnsi="Tenorite" w:cs="Times New Roman"/>
          <w:sz w:val="20"/>
          <w:szCs w:val="20"/>
          <w:lang w:eastAsia="fr-FR"/>
        </w:rPr>
        <w:t xml:space="preserve"> </w:t>
      </w:r>
      <w:proofErr w:type="spellStart"/>
      <w:r w:rsidRPr="001260B8">
        <w:rPr>
          <w:rFonts w:ascii="Tenorite" w:eastAsia="Times New Roman" w:hAnsi="Tenorite" w:cs="Times New Roman"/>
          <w:sz w:val="20"/>
          <w:szCs w:val="20"/>
          <w:lang w:eastAsia="fr-FR"/>
        </w:rPr>
        <w:t>obtectus</w:t>
      </w:r>
      <w:proofErr w:type="spellEnd"/>
      <w:r w:rsidRPr="001260B8">
        <w:rPr>
          <w:rFonts w:ascii="Tenorite" w:eastAsia="Times New Roman" w:hAnsi="Tenorite" w:cs="Times New Roman"/>
          <w:sz w:val="20"/>
          <w:szCs w:val="20"/>
          <w:lang w:eastAsia="fr-FR"/>
        </w:rPr>
        <w:t xml:space="preserve"> sur semences de haricot (</w:t>
      </w:r>
      <w:proofErr w:type="spellStart"/>
      <w:r w:rsidRPr="001260B8">
        <w:rPr>
          <w:rFonts w:ascii="Tenorite" w:eastAsia="Times New Roman" w:hAnsi="Tenorite" w:cs="Times New Roman"/>
          <w:sz w:val="20"/>
          <w:szCs w:val="20"/>
          <w:lang w:eastAsia="fr-FR"/>
        </w:rPr>
        <w:t>Phaseolus</w:t>
      </w:r>
      <w:proofErr w:type="spellEnd"/>
      <w:r w:rsidRPr="001260B8">
        <w:rPr>
          <w:rFonts w:ascii="Tenorite" w:eastAsia="Times New Roman" w:hAnsi="Tenorite" w:cs="Times New Roman"/>
          <w:sz w:val="20"/>
          <w:szCs w:val="20"/>
          <w:lang w:eastAsia="fr-FR"/>
        </w:rPr>
        <w:t xml:space="preserve"> vulgaris et </w:t>
      </w:r>
      <w:proofErr w:type="spellStart"/>
      <w:r w:rsidRPr="001260B8">
        <w:rPr>
          <w:rFonts w:ascii="Tenorite" w:eastAsia="Times New Roman" w:hAnsi="Tenorite" w:cs="Times New Roman"/>
          <w:sz w:val="20"/>
          <w:szCs w:val="20"/>
          <w:lang w:eastAsia="fr-FR"/>
        </w:rPr>
        <w:t>Phaseolus</w:t>
      </w:r>
      <w:proofErr w:type="spellEnd"/>
      <w:r w:rsidRPr="001260B8">
        <w:rPr>
          <w:rFonts w:ascii="Tenorite" w:eastAsia="Times New Roman" w:hAnsi="Tenorite" w:cs="Times New Roman"/>
          <w:sz w:val="20"/>
          <w:szCs w:val="20"/>
          <w:lang w:eastAsia="fr-FR"/>
        </w:rPr>
        <w:t xml:space="preserve"> </w:t>
      </w:r>
      <w:proofErr w:type="spellStart"/>
      <w:r w:rsidRPr="001260B8">
        <w:rPr>
          <w:rFonts w:ascii="Tenorite" w:eastAsia="Times New Roman" w:hAnsi="Tenorite" w:cs="Times New Roman"/>
          <w:sz w:val="20"/>
          <w:szCs w:val="20"/>
          <w:lang w:eastAsia="fr-FR"/>
        </w:rPr>
        <w:t>coccineus</w:t>
      </w:r>
      <w:proofErr w:type="spellEnd"/>
      <w:r w:rsidRPr="001260B8">
        <w:rPr>
          <w:rFonts w:ascii="Tenorite" w:eastAsia="Times New Roman" w:hAnsi="Tenorite" w:cs="Times New Roman"/>
          <w:sz w:val="20"/>
          <w:szCs w:val="20"/>
          <w:lang w:eastAsia="fr-FR"/>
        </w:rPr>
        <w:t>), par inspection visuelle et comportant une étape optionnelle par radiographie ou dissection. (DGAL)</w:t>
      </w:r>
    </w:p>
    <w:p w14:paraId="17B8090A" w14:textId="77777777" w:rsidR="00642D6C" w:rsidRPr="001260B8" w:rsidRDefault="00642D6C" w:rsidP="0036141E">
      <w:pPr>
        <w:shd w:val="clear" w:color="auto" w:fill="FFFFFF"/>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63" w:history="1">
        <w:r w:rsidRPr="001260B8">
          <w:rPr>
            <w:rFonts w:ascii="Tenorite" w:eastAsia="Times New Roman" w:hAnsi="Tenorite" w:cs="Times New Roman"/>
            <w:sz w:val="20"/>
            <w:szCs w:val="20"/>
            <w:u w:val="single"/>
            <w:lang w:eastAsia="fr-FR"/>
          </w:rPr>
          <w:t>DGAL/SDSPV/2024-697</w:t>
        </w:r>
      </w:hyperlink>
      <w:r w:rsidRPr="001260B8">
        <w:rPr>
          <w:rFonts w:ascii="Tenorite" w:eastAsia="Times New Roman" w:hAnsi="Tenorite" w:cs="Times New Roman"/>
          <w:sz w:val="20"/>
          <w:szCs w:val="20"/>
          <w:lang w:eastAsia="fr-FR"/>
        </w:rPr>
        <w:t> du 13-12-2024 - Socle minimal de données à collecter avec les échantillons lors de la réalisation des activités officielles en santé des végétaux. (DGAL)</w:t>
      </w:r>
    </w:p>
    <w:p w14:paraId="40D2B1A1" w14:textId="77777777" w:rsidR="00642D6C" w:rsidRPr="001260B8" w:rsidRDefault="00642D6C" w:rsidP="0036141E">
      <w:pPr>
        <w:shd w:val="clear" w:color="auto" w:fill="FFFFFF"/>
        <w:ind w:left="567" w:right="566"/>
        <w:jc w:val="both"/>
        <w:rPr>
          <w:rFonts w:ascii="Tenorite" w:eastAsia="Times New Roman" w:hAnsi="Tenorite" w:cs="Times New Roman"/>
          <w:sz w:val="20"/>
          <w:szCs w:val="20"/>
          <w:lang w:eastAsia="fr-FR"/>
        </w:rPr>
      </w:pPr>
      <w:hyperlink r:id="rId64" w:history="1">
        <w:r w:rsidRPr="001260B8">
          <w:rPr>
            <w:rStyle w:val="Lienhypertexte"/>
            <w:rFonts w:ascii="Tenorite" w:eastAsia="Times New Roman" w:hAnsi="Tenorite" w:cs="Times New Roman"/>
            <w:color w:val="auto"/>
            <w:sz w:val="20"/>
            <w:szCs w:val="20"/>
            <w:lang w:eastAsia="fr-FR"/>
          </w:rPr>
          <w:t>Règlement</w:t>
        </w:r>
      </w:hyperlink>
      <w:r w:rsidRPr="001260B8">
        <w:rPr>
          <w:rFonts w:ascii="Tenorite" w:eastAsia="Times New Roman" w:hAnsi="Tenorite" w:cs="Times New Roman"/>
          <w:sz w:val="20"/>
          <w:szCs w:val="20"/>
          <w:lang w:eastAsia="fr-FR"/>
        </w:rPr>
        <w:t xml:space="preserve"> d’exécution (UE) 2024/2970 de la Commission du 29 novembre 2024 modifiant le règlement d’exécution (UE) 2019/2072 en ce qui concerne les mesures visant à prévenir la présence du </w:t>
      </w:r>
      <w:proofErr w:type="spellStart"/>
      <w:r w:rsidRPr="001260B8">
        <w:rPr>
          <w:rFonts w:ascii="Tenorite" w:eastAsia="Times New Roman" w:hAnsi="Tenorite" w:cs="Times New Roman"/>
          <w:sz w:val="20"/>
          <w:szCs w:val="20"/>
          <w:lang w:eastAsia="fr-FR"/>
        </w:rPr>
        <w:t>Tomato</w:t>
      </w:r>
      <w:proofErr w:type="spellEnd"/>
      <w:r w:rsidRPr="001260B8">
        <w:rPr>
          <w:rFonts w:ascii="Tenorite" w:eastAsia="Times New Roman" w:hAnsi="Tenorite" w:cs="Times New Roman"/>
          <w:sz w:val="20"/>
          <w:szCs w:val="20"/>
          <w:lang w:eastAsia="fr-FR"/>
        </w:rPr>
        <w:t xml:space="preserve"> </w:t>
      </w:r>
      <w:proofErr w:type="spellStart"/>
      <w:r w:rsidRPr="001260B8">
        <w:rPr>
          <w:rFonts w:ascii="Tenorite" w:eastAsia="Times New Roman" w:hAnsi="Tenorite" w:cs="Times New Roman"/>
          <w:sz w:val="20"/>
          <w:szCs w:val="20"/>
          <w:lang w:eastAsia="fr-FR"/>
        </w:rPr>
        <w:t>brown</w:t>
      </w:r>
      <w:proofErr w:type="spellEnd"/>
      <w:r w:rsidRPr="001260B8">
        <w:rPr>
          <w:rFonts w:ascii="Tenorite" w:eastAsia="Times New Roman" w:hAnsi="Tenorite" w:cs="Times New Roman"/>
          <w:sz w:val="20"/>
          <w:szCs w:val="20"/>
          <w:lang w:eastAsia="fr-FR"/>
        </w:rPr>
        <w:t xml:space="preserve"> </w:t>
      </w:r>
      <w:proofErr w:type="spellStart"/>
      <w:r w:rsidRPr="001260B8">
        <w:rPr>
          <w:rFonts w:ascii="Tenorite" w:eastAsia="Times New Roman" w:hAnsi="Tenorite" w:cs="Times New Roman"/>
          <w:sz w:val="20"/>
          <w:szCs w:val="20"/>
          <w:lang w:eastAsia="fr-FR"/>
        </w:rPr>
        <w:t>rugose</w:t>
      </w:r>
      <w:proofErr w:type="spellEnd"/>
      <w:r w:rsidRPr="001260B8">
        <w:rPr>
          <w:rFonts w:ascii="Tenorite" w:eastAsia="Times New Roman" w:hAnsi="Tenorite" w:cs="Times New Roman"/>
          <w:sz w:val="20"/>
          <w:szCs w:val="20"/>
          <w:lang w:eastAsia="fr-FR"/>
        </w:rPr>
        <w:t xml:space="preserve"> fruit virus sur les végétaux destinés à la plantation de Solanum </w:t>
      </w:r>
      <w:proofErr w:type="spellStart"/>
      <w:r w:rsidRPr="001260B8">
        <w:rPr>
          <w:rFonts w:ascii="Tenorite" w:eastAsia="Times New Roman" w:hAnsi="Tenorite" w:cs="Times New Roman"/>
          <w:sz w:val="20"/>
          <w:szCs w:val="20"/>
          <w:lang w:eastAsia="fr-FR"/>
        </w:rPr>
        <w:t>lycopersicum</w:t>
      </w:r>
      <w:proofErr w:type="spellEnd"/>
      <w:r w:rsidRPr="001260B8">
        <w:rPr>
          <w:rFonts w:ascii="Tenorite" w:eastAsia="Times New Roman" w:hAnsi="Tenorite" w:cs="Times New Roman"/>
          <w:sz w:val="20"/>
          <w:szCs w:val="20"/>
          <w:lang w:eastAsia="fr-FR"/>
        </w:rPr>
        <w:t xml:space="preserve"> L., de ses hybrides et de Capsicum </w:t>
      </w:r>
      <w:proofErr w:type="spellStart"/>
      <w:r w:rsidRPr="001260B8">
        <w:rPr>
          <w:rFonts w:ascii="Tenorite" w:eastAsia="Times New Roman" w:hAnsi="Tenorite" w:cs="Times New Roman"/>
          <w:sz w:val="20"/>
          <w:szCs w:val="20"/>
          <w:lang w:eastAsia="fr-FR"/>
        </w:rPr>
        <w:t>annuum</w:t>
      </w:r>
      <w:proofErr w:type="spellEnd"/>
      <w:r w:rsidRPr="001260B8">
        <w:rPr>
          <w:rFonts w:ascii="Tenorite" w:eastAsia="Times New Roman" w:hAnsi="Tenorite" w:cs="Times New Roman"/>
          <w:sz w:val="20"/>
          <w:szCs w:val="20"/>
          <w:lang w:eastAsia="fr-FR"/>
        </w:rPr>
        <w:t xml:space="preserve"> L., et établissant les taux de fréquence des contrôles officiels (JOUE 02/12/2024)</w:t>
      </w:r>
    </w:p>
    <w:p w14:paraId="6006EC4F" w14:textId="77777777" w:rsidR="009B4796" w:rsidRPr="001260B8" w:rsidRDefault="00642D6C" w:rsidP="0036141E">
      <w:pPr>
        <w:shd w:val="clear" w:color="auto" w:fill="FFFFFF"/>
        <w:spacing w:after="0" w:line="240" w:lineRule="auto"/>
        <w:ind w:left="567" w:right="566"/>
        <w:jc w:val="both"/>
        <w:rPr>
          <w:rFonts w:ascii="Tenorite" w:eastAsia="Times New Roman" w:hAnsi="Tenorite" w:cs="Times New Roman"/>
          <w:sz w:val="20"/>
          <w:szCs w:val="20"/>
          <w:lang w:eastAsia="fr-FR"/>
        </w:rPr>
      </w:pPr>
      <w:hyperlink r:id="rId65" w:history="1">
        <w:r w:rsidRPr="001260B8">
          <w:rPr>
            <w:rStyle w:val="Lienhypertexte"/>
            <w:rFonts w:ascii="Tenorite" w:eastAsia="Times New Roman" w:hAnsi="Tenorite" w:cs="Times New Roman"/>
            <w:color w:val="auto"/>
            <w:sz w:val="20"/>
            <w:szCs w:val="20"/>
            <w:lang w:eastAsia="fr-FR"/>
          </w:rPr>
          <w:t>Règlement</w:t>
        </w:r>
      </w:hyperlink>
      <w:r w:rsidRPr="001260B8">
        <w:rPr>
          <w:rFonts w:ascii="Tenorite" w:eastAsia="Times New Roman" w:hAnsi="Tenorite" w:cs="Times New Roman"/>
          <w:sz w:val="20"/>
          <w:szCs w:val="20"/>
          <w:lang w:eastAsia="fr-FR"/>
        </w:rPr>
        <w:t xml:space="preserve"> (UE) 2024/3115 du Parlement européen et du Conseil du 27 novembre 2024 modifiant le règlement (UE) 2016/2031 en ce qui concerne les programmes de prospection pluriannuels, les notifications concernant la présence d’organismes réglementés non de quarantaine, les dérogations temporaires aux interdictions d’importation et aux exigences particulières à l’importation et l’établissement de procédures pour leur octroi, les exigences temporaires à l’importation pour les végétaux, produits végétaux et autres objets à haut risque, l’établissement de procédures d’inscription sur la liste des végétaux à haut risque, le contenu des certificats phytosanitaires et l’utilisation des passeports phytosanitaires, et en ce qui concerne certaines obligations d’information relatives aux zones délimitées et aux prospections sur les organismes nuisibles et modifiant le règlement (UE) 2017/625 en ce qui concerne certaines notifications de non-conformité (JOUE 16/12/2024)</w:t>
      </w:r>
    </w:p>
    <w:p w14:paraId="721D5B89" w14:textId="77777777" w:rsidR="0053109A" w:rsidRPr="00211ED3" w:rsidRDefault="0053109A" w:rsidP="0036141E">
      <w:pPr>
        <w:shd w:val="clear" w:color="auto" w:fill="FFFFFF"/>
        <w:spacing w:after="0" w:line="240" w:lineRule="auto"/>
        <w:ind w:left="567" w:right="566"/>
        <w:jc w:val="both"/>
        <w:rPr>
          <w:rFonts w:ascii="Tenorite" w:hAnsi="Tenorite"/>
          <w:sz w:val="20"/>
          <w:szCs w:val="20"/>
        </w:rPr>
      </w:pPr>
    </w:p>
    <w:p w14:paraId="7CCFE82A" w14:textId="77777777" w:rsidR="00D025D4" w:rsidRPr="005F3EA3" w:rsidRDefault="00D025D4" w:rsidP="0036141E">
      <w:pPr>
        <w:shd w:val="clear" w:color="auto" w:fill="D9D9D9" w:themeFill="background1" w:themeFillShade="D9"/>
        <w:spacing w:after="0" w:line="240" w:lineRule="auto"/>
        <w:ind w:left="567" w:right="56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49933772" w14:textId="76704722" w:rsidR="00C871A3" w:rsidRDefault="00C871A3" w:rsidP="0036141E">
      <w:pPr>
        <w:pStyle w:val="Textebrut"/>
        <w:ind w:left="567" w:right="566"/>
        <w:jc w:val="both"/>
        <w:rPr>
          <w:rFonts w:ascii="Tenorite" w:hAnsi="Tenorite"/>
          <w:color w:val="C45911" w:themeColor="accent2" w:themeShade="BF"/>
          <w:sz w:val="20"/>
          <w:szCs w:val="18"/>
        </w:rPr>
      </w:pPr>
      <w:r w:rsidRPr="005F3EA3">
        <w:rPr>
          <w:rFonts w:ascii="Tenorite" w:hAnsi="Tenorite"/>
          <w:color w:val="C45911" w:themeColor="accent2" w:themeShade="BF"/>
          <w:sz w:val="20"/>
          <w:szCs w:val="18"/>
        </w:rPr>
        <w:t>Lait, produits laitiers</w:t>
      </w:r>
    </w:p>
    <w:p w14:paraId="49F50DFC" w14:textId="233545AF" w:rsidR="005D2D85" w:rsidRDefault="004F67EF" w:rsidP="0036141E">
      <w:pPr>
        <w:pStyle w:val="Textebrut"/>
        <w:ind w:left="567" w:right="566"/>
        <w:jc w:val="both"/>
        <w:rPr>
          <w:rFonts w:ascii="Tenorite" w:hAnsi="Tenorite"/>
          <w:sz w:val="20"/>
          <w:szCs w:val="20"/>
          <w:shd w:val="clear" w:color="auto" w:fill="FFFFFF"/>
        </w:rPr>
      </w:pPr>
      <w:hyperlink r:id="rId66" w:history="1">
        <w:r w:rsidRPr="001260B8">
          <w:rPr>
            <w:rStyle w:val="Lienhypertexte"/>
            <w:rFonts w:ascii="Tenorite" w:hAnsi="Tenorite"/>
            <w:color w:val="auto"/>
            <w:sz w:val="20"/>
            <w:szCs w:val="20"/>
            <w:shd w:val="clear" w:color="auto" w:fill="FFFFFF"/>
          </w:rPr>
          <w:t>Notes explicatives</w:t>
        </w:r>
      </w:hyperlink>
      <w:r w:rsidRPr="001260B8">
        <w:rPr>
          <w:rFonts w:ascii="Tenorite" w:hAnsi="Tenorite"/>
          <w:sz w:val="20"/>
          <w:szCs w:val="20"/>
          <w:shd w:val="clear" w:color="auto" w:fill="FFFFFF"/>
        </w:rPr>
        <w:t xml:space="preserve"> de la nomenclature combinée de l’Union européenne (JOUE 04/12/2024)</w:t>
      </w:r>
    </w:p>
    <w:p w14:paraId="4DBF022C" w14:textId="77777777" w:rsidR="005D2D85" w:rsidRPr="005D2D85" w:rsidRDefault="005D2D85" w:rsidP="0036141E">
      <w:pPr>
        <w:pStyle w:val="Textebrut"/>
        <w:ind w:left="567" w:right="566"/>
        <w:jc w:val="both"/>
        <w:rPr>
          <w:rFonts w:ascii="Tenorite" w:hAnsi="Tenorite"/>
          <w:sz w:val="20"/>
          <w:szCs w:val="20"/>
          <w:shd w:val="clear" w:color="auto" w:fill="FFFFFF"/>
        </w:rPr>
      </w:pPr>
    </w:p>
    <w:p w14:paraId="14F5C586" w14:textId="77777777" w:rsidR="00D025D4" w:rsidRPr="005F3EA3" w:rsidRDefault="00D025D4" w:rsidP="0036141E">
      <w:pPr>
        <w:shd w:val="clear" w:color="auto" w:fill="D9D9D9" w:themeFill="background1" w:themeFillShade="D9"/>
        <w:spacing w:after="0" w:line="240" w:lineRule="auto"/>
        <w:ind w:left="567" w:right="56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5F5EB0A9" w14:textId="77777777" w:rsidR="00C871A3" w:rsidRDefault="00C871A3" w:rsidP="0036141E">
      <w:pPr>
        <w:spacing w:after="0" w:line="240" w:lineRule="auto"/>
        <w:ind w:left="567" w:right="56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 xml:space="preserve">Œuf </w:t>
      </w:r>
    </w:p>
    <w:p w14:paraId="1597045D" w14:textId="77777777" w:rsidR="004F67EF" w:rsidRPr="001260B8" w:rsidRDefault="004F67EF"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67" w:history="1">
        <w:r w:rsidRPr="001260B8">
          <w:rPr>
            <w:rFonts w:ascii="Tenorite" w:eastAsia="Times New Roman" w:hAnsi="Tenorite" w:cs="Times New Roman"/>
            <w:sz w:val="20"/>
            <w:szCs w:val="20"/>
            <w:u w:val="single"/>
            <w:lang w:eastAsia="fr-FR"/>
          </w:rPr>
          <w:t>DGAL/SDSSA/2025-1</w:t>
        </w:r>
      </w:hyperlink>
      <w:r w:rsidRPr="001260B8">
        <w:rPr>
          <w:rFonts w:ascii="Tenorite" w:eastAsia="Times New Roman" w:hAnsi="Tenorite" w:cs="Times New Roman"/>
          <w:sz w:val="20"/>
          <w:szCs w:val="20"/>
          <w:lang w:eastAsia="fr-FR"/>
        </w:rPr>
        <w:t> du 02-01-2025 - Dossier type d’agrément sanitaire pour les petits centres d'emballage d’œufs, au titre de la section X de l'annexe III du règlement (CE) n°853/2004. (DGAL)</w:t>
      </w:r>
    </w:p>
    <w:p w14:paraId="3E1ADF40" w14:textId="04B21CBC" w:rsidR="00C871A3" w:rsidRPr="005F3EA3" w:rsidRDefault="00C871A3" w:rsidP="0036141E">
      <w:pPr>
        <w:spacing w:after="0" w:line="240" w:lineRule="auto"/>
        <w:ind w:left="567" w:right="56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5F106290" w14:textId="77777777" w:rsidR="009B4796" w:rsidRPr="001260B8" w:rsidRDefault="009B4796" w:rsidP="0036141E">
      <w:pPr>
        <w:pStyle w:val="Textebrut"/>
        <w:ind w:left="567" w:right="566"/>
        <w:jc w:val="both"/>
        <w:rPr>
          <w:rFonts w:ascii="Tenorite" w:hAnsi="Tenorite"/>
          <w:sz w:val="20"/>
          <w:szCs w:val="20"/>
        </w:rPr>
      </w:pPr>
      <w:hyperlink r:id="rId68" w:history="1">
        <w:r w:rsidRPr="001260B8">
          <w:rPr>
            <w:rStyle w:val="Lienhypertexte"/>
            <w:rFonts w:ascii="Tenorite" w:hAnsi="Tenorite"/>
            <w:color w:val="auto"/>
            <w:sz w:val="20"/>
            <w:szCs w:val="20"/>
          </w:rPr>
          <w:t>Arrêté</w:t>
        </w:r>
      </w:hyperlink>
      <w:r w:rsidRPr="001260B8">
        <w:rPr>
          <w:rFonts w:ascii="Tenorite" w:hAnsi="Tenorite"/>
          <w:sz w:val="20"/>
          <w:szCs w:val="20"/>
        </w:rPr>
        <w:t xml:space="preserve"> du 28 novembre 2024 portant homologation du cahier des charges du label rouge n° LA 06/12 « Œufs de poules élevées en plein air, en coquille ou liquides » (JORF 04/12/2024)</w:t>
      </w:r>
    </w:p>
    <w:p w14:paraId="12A20D79" w14:textId="77777777" w:rsidR="009B4796" w:rsidRPr="001260B8" w:rsidRDefault="009B4796" w:rsidP="0036141E">
      <w:pPr>
        <w:spacing w:after="0" w:line="240" w:lineRule="auto"/>
        <w:ind w:left="567" w:right="566"/>
        <w:jc w:val="both"/>
        <w:rPr>
          <w:rFonts w:ascii="Tenorite" w:eastAsia="Times New Roman" w:hAnsi="Tenorite" w:cs="Times New Roman"/>
          <w:b/>
          <w:bCs/>
          <w:sz w:val="20"/>
          <w:szCs w:val="20"/>
          <w:shd w:val="clear" w:color="auto" w:fill="FFFFFF"/>
          <w:lang w:eastAsia="fr-FR"/>
        </w:rPr>
      </w:pPr>
    </w:p>
    <w:p w14:paraId="6DEBA8A8" w14:textId="77777777" w:rsidR="009B4796" w:rsidRPr="001260B8" w:rsidRDefault="009B4796" w:rsidP="0036141E">
      <w:pPr>
        <w:spacing w:after="0" w:line="240" w:lineRule="auto"/>
        <w:ind w:left="567" w:right="566"/>
        <w:jc w:val="both"/>
        <w:rPr>
          <w:rFonts w:ascii="Tenorite" w:eastAsia="Times New Roman" w:hAnsi="Tenorite" w:cs="Times New Roman"/>
          <w:sz w:val="20"/>
          <w:szCs w:val="20"/>
          <w:lang w:eastAsia="fr-FR"/>
        </w:rPr>
      </w:pPr>
      <w:hyperlink r:id="rId69" w:history="1">
        <w:r w:rsidRPr="001260B8">
          <w:rPr>
            <w:rFonts w:ascii="Tenorite" w:eastAsia="Times New Roman" w:hAnsi="Tenorite" w:cs="Times New Roman"/>
            <w:b/>
            <w:bCs/>
            <w:sz w:val="20"/>
            <w:szCs w:val="20"/>
            <w:u w:val="single"/>
            <w:shd w:val="clear" w:color="auto" w:fill="FFFFFF"/>
            <w:lang w:eastAsia="fr-FR"/>
          </w:rPr>
          <w:t>Cahier des charges</w:t>
        </w:r>
      </w:hyperlink>
      <w:r w:rsidRPr="001260B8">
        <w:rPr>
          <w:rFonts w:ascii="Tenorite" w:eastAsia="Times New Roman" w:hAnsi="Tenorite" w:cs="Times New Roman"/>
          <w:sz w:val="20"/>
          <w:szCs w:val="20"/>
          <w:shd w:val="clear" w:color="auto" w:fill="FFFFFF"/>
          <w:lang w:eastAsia="fr-FR"/>
        </w:rPr>
        <w:t xml:space="preserve"> du 05-12-2024 - </w:t>
      </w:r>
      <w:r w:rsidRPr="001260B8">
        <w:rPr>
          <w:rFonts w:ascii="Tenorite" w:eastAsia="Times New Roman" w:hAnsi="Tenorite" w:cs="Times New Roman"/>
          <w:sz w:val="20"/>
          <w:szCs w:val="20"/>
          <w:lang w:eastAsia="fr-FR"/>
        </w:rPr>
        <w:t>Cahier des charges Label Rouge n° LA 06/12 "</w:t>
      </w:r>
      <w:proofErr w:type="spellStart"/>
      <w:r w:rsidRPr="001260B8">
        <w:rPr>
          <w:rFonts w:ascii="Tenorite" w:eastAsia="Times New Roman" w:hAnsi="Tenorite" w:cs="Times New Roman"/>
          <w:sz w:val="20"/>
          <w:szCs w:val="20"/>
          <w:lang w:eastAsia="fr-FR"/>
        </w:rPr>
        <w:t>OEufs</w:t>
      </w:r>
      <w:proofErr w:type="spellEnd"/>
      <w:r w:rsidRPr="001260B8">
        <w:rPr>
          <w:rFonts w:ascii="Tenorite" w:eastAsia="Times New Roman" w:hAnsi="Tenorite" w:cs="Times New Roman"/>
          <w:sz w:val="20"/>
          <w:szCs w:val="20"/>
          <w:lang w:eastAsia="fr-FR"/>
        </w:rPr>
        <w:t xml:space="preserve"> de poules élevées en plein air, en coquille ou liquides” (DGPE)</w:t>
      </w:r>
    </w:p>
    <w:p w14:paraId="33F7367C" w14:textId="77777777" w:rsidR="00361674" w:rsidRDefault="00361674" w:rsidP="0036141E">
      <w:pPr>
        <w:spacing w:after="0" w:line="240" w:lineRule="auto"/>
        <w:ind w:left="567" w:right="566" w:hanging="283"/>
        <w:rPr>
          <w:rFonts w:ascii="Tenorite" w:hAnsi="Tenorite"/>
          <w:color w:val="C45911" w:themeColor="accent2" w:themeShade="BF"/>
          <w:sz w:val="20"/>
          <w:szCs w:val="18"/>
        </w:rPr>
      </w:pPr>
    </w:p>
    <w:p w14:paraId="56430F47" w14:textId="77777777" w:rsidR="00D025D4" w:rsidRPr="005F3EA3" w:rsidRDefault="00D025D4" w:rsidP="0036141E">
      <w:pPr>
        <w:shd w:val="clear" w:color="auto" w:fill="D9D9D9" w:themeFill="background1" w:themeFillShade="D9"/>
        <w:spacing w:after="0" w:line="240" w:lineRule="auto"/>
        <w:ind w:left="567" w:right="56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PRODUITS CEREALIERS</w:t>
      </w:r>
    </w:p>
    <w:p w14:paraId="52329BD6" w14:textId="31D65B32" w:rsidR="0053109A" w:rsidRPr="001260B8" w:rsidRDefault="005D2D85" w:rsidP="0036141E">
      <w:pPr>
        <w:pStyle w:val="Textebrut"/>
        <w:ind w:left="567" w:right="566"/>
        <w:jc w:val="both"/>
        <w:rPr>
          <w:rFonts w:ascii="Tenorite" w:hAnsi="Tenorite"/>
          <w:sz w:val="20"/>
          <w:szCs w:val="20"/>
        </w:rPr>
      </w:pPr>
      <w:r>
        <w:rPr>
          <w:rFonts w:ascii="Tenorite" w:hAnsi="Tenorite"/>
          <w:sz w:val="20"/>
          <w:szCs w:val="20"/>
        </w:rPr>
        <w:t>/</w:t>
      </w:r>
    </w:p>
    <w:p w14:paraId="1C7ACCE5" w14:textId="77777777" w:rsidR="005F38B8" w:rsidRPr="005F3EA3" w:rsidRDefault="005F38B8" w:rsidP="0036141E">
      <w:pPr>
        <w:spacing w:after="0" w:line="240" w:lineRule="auto"/>
        <w:ind w:left="567" w:right="566" w:hanging="283"/>
        <w:rPr>
          <w:rFonts w:ascii="Tenorite" w:hAnsi="Tenorite"/>
          <w:color w:val="C45911" w:themeColor="accent2" w:themeShade="BF"/>
          <w:sz w:val="20"/>
          <w:szCs w:val="18"/>
        </w:rPr>
      </w:pPr>
    </w:p>
    <w:p w14:paraId="5B9F02A9" w14:textId="77777777" w:rsidR="00D025D4" w:rsidRPr="005F3EA3" w:rsidRDefault="00D025D4" w:rsidP="0036141E">
      <w:pPr>
        <w:shd w:val="clear" w:color="auto" w:fill="D9D9D9" w:themeFill="background1" w:themeFillShade="D9"/>
        <w:spacing w:after="0" w:line="240" w:lineRule="auto"/>
        <w:ind w:left="567" w:right="56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lastRenderedPageBreak/>
        <w:t xml:space="preserve">PRODUITS SUCRES </w:t>
      </w:r>
    </w:p>
    <w:p w14:paraId="5B8216A8" w14:textId="77777777" w:rsidR="00C871A3" w:rsidRDefault="00C871A3" w:rsidP="0036141E">
      <w:pPr>
        <w:spacing w:after="0" w:line="240" w:lineRule="auto"/>
        <w:ind w:left="567" w:right="56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Miel</w:t>
      </w:r>
    </w:p>
    <w:p w14:paraId="392B7115" w14:textId="77777777" w:rsidR="00642D6C" w:rsidRPr="001260B8" w:rsidRDefault="00642D6C" w:rsidP="0036141E">
      <w:pPr>
        <w:pStyle w:val="Textebrut"/>
        <w:ind w:left="567" w:right="566"/>
        <w:jc w:val="both"/>
        <w:rPr>
          <w:rFonts w:ascii="Tenorite" w:hAnsi="Tenorite"/>
          <w:sz w:val="20"/>
          <w:szCs w:val="20"/>
        </w:rPr>
      </w:pPr>
      <w:hyperlink r:id="rId70" w:history="1">
        <w:r w:rsidRPr="001260B8">
          <w:rPr>
            <w:rStyle w:val="Lienhypertexte"/>
            <w:rFonts w:ascii="Tenorite" w:hAnsi="Tenorite"/>
            <w:color w:val="auto"/>
            <w:sz w:val="20"/>
            <w:szCs w:val="20"/>
            <w:shd w:val="clear" w:color="auto" w:fill="FFFFFF"/>
          </w:rPr>
          <w:t>Décision</w:t>
        </w:r>
      </w:hyperlink>
      <w:r w:rsidRPr="001260B8">
        <w:rPr>
          <w:rFonts w:ascii="Tenorite" w:hAnsi="Tenorite"/>
          <w:sz w:val="20"/>
          <w:szCs w:val="20"/>
          <w:shd w:val="clear" w:color="auto" w:fill="FFFFFF"/>
        </w:rPr>
        <w:t xml:space="preserve"> d’exécution (UE) 2024/3119 de la Commission du 16 décembre 2024 modifiant la décision d’exécution (UE) 2023/110 en prolongeant la période d’application des mesures d’urgence concernant des cas confirmés d’infestation par le petit coléoptère des ruches en France et en Italie et en ajoutant la région de la Sicile en Italie à l’annexe de ladite décision en tant que zone faisant l’objet de ces mesures d’urgence (JOUE 18/12/2024)</w:t>
      </w:r>
    </w:p>
    <w:p w14:paraId="1D5DF923" w14:textId="77777777" w:rsidR="00642D6C" w:rsidRPr="005F3EA3" w:rsidRDefault="00642D6C" w:rsidP="0036141E">
      <w:pPr>
        <w:spacing w:after="0" w:line="240" w:lineRule="auto"/>
        <w:ind w:left="567" w:right="566" w:hanging="283"/>
        <w:rPr>
          <w:rFonts w:ascii="Tenorite" w:hAnsi="Tenorite"/>
          <w:color w:val="C45911" w:themeColor="accent2" w:themeShade="BF"/>
          <w:sz w:val="20"/>
          <w:szCs w:val="18"/>
        </w:rPr>
      </w:pPr>
    </w:p>
    <w:p w14:paraId="12B01DA5" w14:textId="77777777" w:rsidR="00D025D4" w:rsidRPr="005F3EA3" w:rsidRDefault="00D025D4" w:rsidP="0036141E">
      <w:pPr>
        <w:shd w:val="clear" w:color="auto" w:fill="D9D9D9" w:themeFill="background1" w:themeFillShade="D9"/>
        <w:spacing w:after="0" w:line="240" w:lineRule="auto"/>
        <w:ind w:left="567" w:right="56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7288D9F0" w14:textId="77777777" w:rsidR="00642D6C" w:rsidRPr="001260B8" w:rsidRDefault="00642D6C"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71" w:history="1">
        <w:r w:rsidRPr="001260B8">
          <w:rPr>
            <w:rFonts w:ascii="Tenorite" w:eastAsia="Times New Roman" w:hAnsi="Tenorite" w:cs="Times New Roman"/>
            <w:sz w:val="20"/>
            <w:szCs w:val="20"/>
            <w:u w:val="single"/>
            <w:lang w:eastAsia="fr-FR"/>
          </w:rPr>
          <w:t>DGAL/SDSBEA/2024-734</w:t>
        </w:r>
      </w:hyperlink>
      <w:r w:rsidRPr="001260B8">
        <w:rPr>
          <w:rFonts w:ascii="Tenorite" w:eastAsia="Times New Roman" w:hAnsi="Tenorite" w:cs="Times New Roman"/>
          <w:sz w:val="20"/>
          <w:szCs w:val="20"/>
          <w:lang w:eastAsia="fr-FR"/>
        </w:rPr>
        <w:t> du 26-12-2024 - Procédure provisoire de gestion dégradée de la traçabilité animale en raison de l’indisponibilité des outils de l’ARSOE de SOUAL (DGAL)</w:t>
      </w:r>
    </w:p>
    <w:p w14:paraId="64A443C1" w14:textId="77777777" w:rsidR="00847B55" w:rsidRPr="009A1B79" w:rsidRDefault="00847B55" w:rsidP="0036141E">
      <w:pPr>
        <w:pStyle w:val="Textebrut"/>
        <w:ind w:left="567" w:right="566"/>
        <w:jc w:val="both"/>
        <w:rPr>
          <w:rFonts w:ascii="Tenorite" w:hAnsi="Tenorite"/>
          <w:sz w:val="20"/>
          <w:szCs w:val="20"/>
        </w:rPr>
      </w:pPr>
    </w:p>
    <w:p w14:paraId="24992B90" w14:textId="77777777" w:rsidR="00C871A3" w:rsidRPr="005F3EA3" w:rsidRDefault="00C871A3" w:rsidP="0036141E">
      <w:pPr>
        <w:spacing w:after="0" w:line="240" w:lineRule="auto"/>
        <w:ind w:left="567" w:right="56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Maladies</w:t>
      </w:r>
    </w:p>
    <w:p w14:paraId="435B51F6" w14:textId="77777777" w:rsidR="00AE3BA9" w:rsidRPr="001260B8" w:rsidRDefault="00AE3BA9" w:rsidP="0036141E">
      <w:pPr>
        <w:pStyle w:val="Textebrut"/>
        <w:ind w:left="567" w:right="566"/>
        <w:jc w:val="both"/>
        <w:rPr>
          <w:rFonts w:ascii="Tenorite" w:hAnsi="Tenorite"/>
          <w:sz w:val="20"/>
          <w:szCs w:val="20"/>
        </w:rPr>
      </w:pPr>
      <w:hyperlink r:id="rId72" w:history="1">
        <w:r w:rsidRPr="001260B8">
          <w:rPr>
            <w:rStyle w:val="Lienhypertexte"/>
            <w:rFonts w:ascii="Tenorite" w:hAnsi="Tenorite"/>
            <w:color w:val="auto"/>
            <w:sz w:val="20"/>
            <w:szCs w:val="20"/>
          </w:rPr>
          <w:t>Arrêté</w:t>
        </w:r>
      </w:hyperlink>
      <w:r w:rsidRPr="001260B8">
        <w:rPr>
          <w:rFonts w:ascii="Tenorite" w:hAnsi="Tenorite"/>
          <w:sz w:val="20"/>
          <w:szCs w:val="20"/>
        </w:rPr>
        <w:t xml:space="preserve"> du 25 novembre 2024 modifiant l'arrêté du 8 octobre 2021 fixant les mesures techniques et administratives relatives à la prévention, la surveillance et la police sanitaire de l'infection par le complexe Mycobacterium </w:t>
      </w:r>
      <w:proofErr w:type="spellStart"/>
      <w:r w:rsidRPr="001260B8">
        <w:rPr>
          <w:rFonts w:ascii="Tenorite" w:hAnsi="Tenorite"/>
          <w:sz w:val="20"/>
          <w:szCs w:val="20"/>
        </w:rPr>
        <w:t>tuberculosis</w:t>
      </w:r>
      <w:proofErr w:type="spellEnd"/>
      <w:r w:rsidRPr="001260B8">
        <w:rPr>
          <w:rFonts w:ascii="Tenorite" w:hAnsi="Tenorite"/>
          <w:sz w:val="20"/>
          <w:szCs w:val="20"/>
        </w:rPr>
        <w:t xml:space="preserve"> des animaux des espèces bovine, caprine et porcine ainsi que des élevages de camélidés et de cervidés (JORF 28/11/2024)</w:t>
      </w:r>
    </w:p>
    <w:p w14:paraId="0CCE368D" w14:textId="77777777" w:rsidR="00AE3BA9" w:rsidRDefault="00AE3BA9" w:rsidP="0036141E">
      <w:pPr>
        <w:pStyle w:val="Textebrut"/>
        <w:ind w:left="567" w:right="566"/>
        <w:jc w:val="both"/>
        <w:rPr>
          <w:rFonts w:ascii="Tenorite" w:hAnsi="Tenorite"/>
          <w:sz w:val="20"/>
          <w:szCs w:val="20"/>
        </w:rPr>
      </w:pPr>
    </w:p>
    <w:p w14:paraId="57480528" w14:textId="4249B47F" w:rsidR="00C871A3" w:rsidRPr="005F3EA3" w:rsidRDefault="00C871A3" w:rsidP="0036141E">
      <w:pPr>
        <w:spacing w:after="0" w:line="240" w:lineRule="auto"/>
        <w:ind w:left="567" w:right="56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Sécurité sanitaire</w:t>
      </w:r>
    </w:p>
    <w:p w14:paraId="2BA0440E" w14:textId="77777777" w:rsidR="0053109A" w:rsidRPr="001260B8" w:rsidRDefault="0053109A" w:rsidP="0036141E">
      <w:pPr>
        <w:shd w:val="clear" w:color="auto" w:fill="FFFFFF"/>
        <w:spacing w:after="0" w:line="240" w:lineRule="auto"/>
        <w:ind w:left="567" w:right="566"/>
        <w:jc w:val="both"/>
        <w:rPr>
          <w:rFonts w:ascii="Tenorite" w:eastAsia="Times New Roman" w:hAnsi="Tenorite" w:cs="Times New Roman"/>
          <w:sz w:val="20"/>
          <w:szCs w:val="20"/>
          <w:lang w:eastAsia="fr-FR"/>
        </w:rPr>
      </w:pPr>
      <w:r w:rsidRPr="001260B8">
        <w:rPr>
          <w:rFonts w:ascii="Tenorite" w:eastAsia="Times New Roman" w:hAnsi="Tenorite" w:cs="Times New Roman"/>
          <w:b/>
          <w:bCs/>
          <w:sz w:val="20"/>
          <w:szCs w:val="20"/>
          <w:lang w:eastAsia="fr-FR"/>
        </w:rPr>
        <w:t>Instruction technique </w:t>
      </w:r>
      <w:hyperlink r:id="rId73" w:history="1">
        <w:r w:rsidRPr="001260B8">
          <w:rPr>
            <w:rStyle w:val="Lienhypertexte"/>
            <w:rFonts w:ascii="Tenorite" w:eastAsia="Times New Roman" w:hAnsi="Tenorite" w:cs="Times New Roman"/>
            <w:color w:val="auto"/>
            <w:sz w:val="20"/>
            <w:szCs w:val="20"/>
            <w:lang w:eastAsia="fr-FR"/>
          </w:rPr>
          <w:t>DGAL/SDEIGIR/2024-627</w:t>
        </w:r>
      </w:hyperlink>
      <w:r w:rsidRPr="001260B8">
        <w:rPr>
          <w:rFonts w:ascii="Tenorite" w:eastAsia="Times New Roman" w:hAnsi="Tenorite" w:cs="Times New Roman"/>
          <w:sz w:val="20"/>
          <w:szCs w:val="20"/>
          <w:lang w:eastAsia="fr-FR"/>
        </w:rPr>
        <w:t xml:space="preserve"> du 20-11-2024 - Plan de surveillance de la contamination des viandes fraiches de porc et de bœuf par Escherichia coli productrices de </w:t>
      </w:r>
      <w:r w:rsidRPr="001260B8">
        <w:rPr>
          <w:rFonts w:ascii="Cambria" w:eastAsia="Times New Roman" w:hAnsi="Cambria" w:cs="Cambria"/>
          <w:sz w:val="20"/>
          <w:szCs w:val="20"/>
          <w:lang w:eastAsia="fr-FR"/>
        </w:rPr>
        <w:t>β</w:t>
      </w:r>
      <w:r w:rsidRPr="001260B8">
        <w:rPr>
          <w:rFonts w:ascii="Tenorite" w:eastAsia="Times New Roman" w:hAnsi="Tenorite" w:cs="Times New Roman"/>
          <w:sz w:val="20"/>
          <w:szCs w:val="20"/>
          <w:lang w:eastAsia="fr-FR"/>
        </w:rPr>
        <w:t xml:space="preserve">-lactamases </w:t>
      </w:r>
      <w:r w:rsidRPr="001260B8">
        <w:rPr>
          <w:rFonts w:ascii="Tenorite" w:eastAsia="Times New Roman" w:hAnsi="Tenorite" w:cs="Tenorite"/>
          <w:sz w:val="20"/>
          <w:szCs w:val="20"/>
          <w:lang w:eastAsia="fr-FR"/>
        </w:rPr>
        <w:t>à</w:t>
      </w:r>
      <w:r w:rsidRPr="001260B8">
        <w:rPr>
          <w:rFonts w:ascii="Tenorite" w:eastAsia="Times New Roman" w:hAnsi="Tenorite" w:cs="Times New Roman"/>
          <w:sz w:val="20"/>
          <w:szCs w:val="20"/>
          <w:lang w:eastAsia="fr-FR"/>
        </w:rPr>
        <w:t xml:space="preserve"> spectre </w:t>
      </w:r>
      <w:r w:rsidRPr="001260B8">
        <w:rPr>
          <w:rFonts w:ascii="Tenorite" w:eastAsia="Times New Roman" w:hAnsi="Tenorite" w:cs="Tenorite"/>
          <w:sz w:val="20"/>
          <w:szCs w:val="20"/>
          <w:lang w:eastAsia="fr-FR"/>
        </w:rPr>
        <w:t>é</w:t>
      </w:r>
      <w:r w:rsidRPr="001260B8">
        <w:rPr>
          <w:rFonts w:ascii="Tenorite" w:eastAsia="Times New Roman" w:hAnsi="Tenorite" w:cs="Times New Roman"/>
          <w:sz w:val="20"/>
          <w:szCs w:val="20"/>
          <w:lang w:eastAsia="fr-FR"/>
        </w:rPr>
        <w:t xml:space="preserve">tendu, de </w:t>
      </w:r>
      <w:r w:rsidRPr="001260B8">
        <w:rPr>
          <w:rFonts w:ascii="Cambria" w:eastAsia="Times New Roman" w:hAnsi="Cambria" w:cs="Cambria"/>
          <w:sz w:val="20"/>
          <w:szCs w:val="20"/>
          <w:lang w:eastAsia="fr-FR"/>
        </w:rPr>
        <w:t>β</w:t>
      </w:r>
      <w:r w:rsidRPr="001260B8">
        <w:rPr>
          <w:rFonts w:ascii="Tenorite" w:eastAsia="Times New Roman" w:hAnsi="Tenorite" w:cs="Times New Roman"/>
          <w:sz w:val="20"/>
          <w:szCs w:val="20"/>
          <w:lang w:eastAsia="fr-FR"/>
        </w:rPr>
        <w:t xml:space="preserve">-lactamases </w:t>
      </w:r>
      <w:proofErr w:type="spellStart"/>
      <w:r w:rsidRPr="001260B8">
        <w:rPr>
          <w:rFonts w:ascii="Tenorite" w:eastAsia="Times New Roman" w:hAnsi="Tenorite" w:cs="Times New Roman"/>
          <w:sz w:val="20"/>
          <w:szCs w:val="20"/>
          <w:lang w:eastAsia="fr-FR"/>
        </w:rPr>
        <w:t>AmpC</w:t>
      </w:r>
      <w:proofErr w:type="spellEnd"/>
      <w:r w:rsidRPr="001260B8">
        <w:rPr>
          <w:rFonts w:ascii="Tenorite" w:eastAsia="Times New Roman" w:hAnsi="Tenorite" w:cs="Times New Roman"/>
          <w:sz w:val="20"/>
          <w:szCs w:val="20"/>
          <w:lang w:eastAsia="fr-FR"/>
        </w:rPr>
        <w:t xml:space="preserve"> ou de </w:t>
      </w:r>
      <w:proofErr w:type="spellStart"/>
      <w:r w:rsidRPr="001260B8">
        <w:rPr>
          <w:rFonts w:ascii="Tenorite" w:eastAsia="Times New Roman" w:hAnsi="Tenorite" w:cs="Times New Roman"/>
          <w:sz w:val="20"/>
          <w:szCs w:val="20"/>
          <w:lang w:eastAsia="fr-FR"/>
        </w:rPr>
        <w:t>carbap</w:t>
      </w:r>
      <w:r w:rsidRPr="001260B8">
        <w:rPr>
          <w:rFonts w:ascii="Tenorite" w:eastAsia="Times New Roman" w:hAnsi="Tenorite" w:cs="Tenorite"/>
          <w:sz w:val="20"/>
          <w:szCs w:val="20"/>
          <w:lang w:eastAsia="fr-FR"/>
        </w:rPr>
        <w:t>é</w:t>
      </w:r>
      <w:r w:rsidRPr="001260B8">
        <w:rPr>
          <w:rFonts w:ascii="Tenorite" w:eastAsia="Times New Roman" w:hAnsi="Tenorite" w:cs="Times New Roman"/>
          <w:sz w:val="20"/>
          <w:szCs w:val="20"/>
          <w:lang w:eastAsia="fr-FR"/>
        </w:rPr>
        <w:t>n</w:t>
      </w:r>
      <w:r w:rsidRPr="001260B8">
        <w:rPr>
          <w:rFonts w:ascii="Tenorite" w:eastAsia="Times New Roman" w:hAnsi="Tenorite" w:cs="Tenorite"/>
          <w:sz w:val="20"/>
          <w:szCs w:val="20"/>
          <w:lang w:eastAsia="fr-FR"/>
        </w:rPr>
        <w:t>è</w:t>
      </w:r>
      <w:r w:rsidRPr="001260B8">
        <w:rPr>
          <w:rFonts w:ascii="Tenorite" w:eastAsia="Times New Roman" w:hAnsi="Tenorite" w:cs="Times New Roman"/>
          <w:sz w:val="20"/>
          <w:szCs w:val="20"/>
          <w:lang w:eastAsia="fr-FR"/>
        </w:rPr>
        <w:t>mases</w:t>
      </w:r>
      <w:proofErr w:type="spellEnd"/>
      <w:r w:rsidRPr="001260B8">
        <w:rPr>
          <w:rFonts w:ascii="Tenorite" w:eastAsia="Times New Roman" w:hAnsi="Tenorite" w:cs="Times New Roman"/>
          <w:sz w:val="20"/>
          <w:szCs w:val="20"/>
          <w:lang w:eastAsia="fr-FR"/>
        </w:rPr>
        <w:t xml:space="preserve"> au stade de la distribution (DGAL)</w:t>
      </w:r>
    </w:p>
    <w:p w14:paraId="750F953A" w14:textId="77777777" w:rsidR="0053109A" w:rsidRDefault="0053109A" w:rsidP="0036141E">
      <w:pPr>
        <w:spacing w:after="0" w:line="240" w:lineRule="auto"/>
        <w:ind w:left="567" w:right="566" w:hanging="283"/>
        <w:rPr>
          <w:rFonts w:ascii="Tenorite" w:hAnsi="Tenorite"/>
          <w:color w:val="C45911" w:themeColor="accent2" w:themeShade="BF"/>
          <w:sz w:val="20"/>
          <w:szCs w:val="18"/>
        </w:rPr>
      </w:pPr>
    </w:p>
    <w:p w14:paraId="3699447A" w14:textId="77777777" w:rsidR="00850FC1" w:rsidRDefault="00850FC1" w:rsidP="0036141E">
      <w:pPr>
        <w:pStyle w:val="Textebrut"/>
        <w:ind w:left="567" w:right="566"/>
        <w:jc w:val="both"/>
        <w:rPr>
          <w:rFonts w:ascii="Tenorite" w:hAnsi="Tenorite"/>
          <w:sz w:val="20"/>
          <w:szCs w:val="20"/>
        </w:rPr>
      </w:pPr>
    </w:p>
    <w:p w14:paraId="0504C9B1" w14:textId="77777777" w:rsidR="00850FC1" w:rsidRPr="00211ED3" w:rsidRDefault="00850FC1" w:rsidP="0036141E">
      <w:pPr>
        <w:pStyle w:val="Textebrut"/>
        <w:ind w:left="567" w:right="566"/>
        <w:jc w:val="both"/>
        <w:rPr>
          <w:rFonts w:ascii="Tenorite" w:hAnsi="Tenorite"/>
          <w:sz w:val="20"/>
          <w:szCs w:val="20"/>
        </w:rPr>
      </w:pPr>
    </w:p>
    <w:p w14:paraId="3231035C" w14:textId="77777777" w:rsidR="00850FC1" w:rsidRPr="00211ED3" w:rsidRDefault="00850FC1" w:rsidP="0036141E">
      <w:pPr>
        <w:shd w:val="clear" w:color="auto" w:fill="FFFFFF"/>
        <w:spacing w:after="0" w:line="240" w:lineRule="auto"/>
        <w:ind w:left="567" w:right="566"/>
        <w:jc w:val="both"/>
        <w:rPr>
          <w:rFonts w:ascii="Tenorite" w:eastAsia="Times New Roman" w:hAnsi="Tenorite" w:cs="Times New Roman"/>
          <w:color w:val="636363"/>
          <w:sz w:val="20"/>
          <w:szCs w:val="20"/>
          <w:lang w:eastAsia="fr-FR"/>
        </w:rPr>
      </w:pPr>
    </w:p>
    <w:p w14:paraId="3F386E4C" w14:textId="77777777" w:rsidR="005F38B8" w:rsidRPr="00AA63A0" w:rsidRDefault="005F38B8" w:rsidP="0036141E">
      <w:pPr>
        <w:shd w:val="clear" w:color="auto" w:fill="FFFFFF"/>
        <w:spacing w:after="0" w:line="240" w:lineRule="auto"/>
        <w:ind w:left="567" w:right="566"/>
        <w:jc w:val="both"/>
        <w:rPr>
          <w:rStyle w:val="Lienhypertexte"/>
          <w:rFonts w:ascii="Tenorite" w:eastAsia="Times New Roman" w:hAnsi="Tenorite" w:cs="Times New Roman"/>
          <w:color w:val="auto"/>
          <w:sz w:val="20"/>
          <w:szCs w:val="20"/>
          <w:lang w:eastAsia="fr-FR"/>
        </w:rPr>
      </w:pPr>
    </w:p>
    <w:p w14:paraId="38699E33" w14:textId="77777777" w:rsidR="007F2AEC" w:rsidRPr="005F3EA3" w:rsidRDefault="007F2AEC" w:rsidP="0036141E">
      <w:pPr>
        <w:spacing w:after="0" w:line="240" w:lineRule="auto"/>
        <w:ind w:left="567" w:right="566" w:hanging="283"/>
        <w:rPr>
          <w:rFonts w:ascii="Tenorite" w:hAnsi="Tenorite"/>
          <w:color w:val="C45911" w:themeColor="accent2" w:themeShade="BF"/>
          <w:sz w:val="20"/>
          <w:szCs w:val="18"/>
        </w:rPr>
      </w:pPr>
    </w:p>
    <w:p w14:paraId="22B970FD" w14:textId="77777777" w:rsidR="00D025D4" w:rsidRPr="005F3EA3" w:rsidRDefault="00D025D4" w:rsidP="0036141E">
      <w:pPr>
        <w:pStyle w:val="Titre1"/>
        <w:spacing w:before="0" w:line="240" w:lineRule="auto"/>
        <w:ind w:left="567" w:right="566"/>
        <w:rPr>
          <w:rFonts w:ascii="Tenorite" w:hAnsi="Tenorite" w:cs="Tahoma"/>
          <w:i/>
          <w:sz w:val="20"/>
          <w:szCs w:val="20"/>
        </w:rPr>
      </w:pPr>
      <w:r w:rsidRPr="005F3EA3">
        <w:rPr>
          <w:rFonts w:ascii="Tenorite" w:hAnsi="Tenorite" w:cs="Tahoma"/>
          <w:i/>
          <w:sz w:val="20"/>
          <w:szCs w:val="20"/>
        </w:rPr>
        <w:t>Ce bulletin est la propriété du CRITT Agro-Alimentaire PACA et est établi à l'usage exclusif de l’entreprise signataire du bulletin d’adhésion.</w:t>
      </w:r>
    </w:p>
    <w:p w14:paraId="3F30563A" w14:textId="77777777" w:rsidR="00D025D4" w:rsidRPr="005F3EA3" w:rsidRDefault="00D025D4" w:rsidP="0036141E">
      <w:pPr>
        <w:spacing w:after="0" w:line="240" w:lineRule="auto"/>
        <w:ind w:left="567" w:right="566"/>
        <w:rPr>
          <w:rFonts w:ascii="Tenorite" w:hAnsi="Tenorite"/>
        </w:rPr>
      </w:pPr>
    </w:p>
    <w:p w14:paraId="3C68D160" w14:textId="77777777" w:rsidR="000C0DEF" w:rsidRPr="005F3EA3" w:rsidRDefault="000C0DEF" w:rsidP="0036141E">
      <w:pPr>
        <w:spacing w:after="0" w:line="240" w:lineRule="auto"/>
        <w:ind w:left="567" w:right="566"/>
        <w:rPr>
          <w:rFonts w:ascii="Tenorite" w:hAnsi="Tenorite"/>
        </w:rPr>
      </w:pPr>
    </w:p>
    <w:sectPr w:rsidR="000C0DEF" w:rsidRPr="005F3EA3" w:rsidSect="000C0DEF">
      <w:headerReference w:type="even" r:id="rId74"/>
      <w:headerReference w:type="default" r:id="rId75"/>
      <w:footerReference w:type="even" r:id="rId76"/>
      <w:footerReference w:type="default" r:id="rId77"/>
      <w:headerReference w:type="first" r:id="rId78"/>
      <w:footerReference w:type="first" r:id="rId79"/>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1C888" w14:textId="77777777" w:rsidR="000C0DEF" w:rsidRDefault="000C0DEF" w:rsidP="000C0DEF">
      <w:pPr>
        <w:spacing w:after="0" w:line="240" w:lineRule="auto"/>
      </w:pPr>
      <w:r>
        <w:separator/>
      </w:r>
    </w:p>
  </w:endnote>
  <w:endnote w:type="continuationSeparator" w:id="0">
    <w:p w14:paraId="14BE9002" w14:textId="77777777" w:rsidR="000C0DEF" w:rsidRDefault="000C0DE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AAA3D" w14:textId="77777777" w:rsidR="0036141E" w:rsidRDefault="0036141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enorite" w:hAnsi="Tenorite"/>
        <w:sz w:val="20"/>
        <w:szCs w:val="20"/>
      </w:rPr>
      <w:id w:val="270144275"/>
      <w:docPartObj>
        <w:docPartGallery w:val="Page Numbers (Bottom of Page)"/>
        <w:docPartUnique/>
      </w:docPartObj>
    </w:sdtPr>
    <w:sdtEndPr/>
    <w:sdtContent>
      <w:p w14:paraId="4AC5D974" w14:textId="77777777" w:rsidR="0036141E" w:rsidRDefault="008E4A87" w:rsidP="0036141E">
        <w:pPr>
          <w:pStyle w:val="Pieddepage"/>
          <w:ind w:right="566"/>
          <w:jc w:val="right"/>
          <w:rPr>
            <w:rFonts w:ascii="Tenorite" w:hAnsi="Tenorite"/>
            <w:b/>
            <w:bCs/>
            <w:sz w:val="20"/>
            <w:szCs w:val="20"/>
          </w:rPr>
        </w:pPr>
        <w:r w:rsidRPr="008E4A87">
          <w:rPr>
            <w:rFonts w:ascii="Tenorite" w:hAnsi="Tenorite"/>
            <w:sz w:val="20"/>
            <w:szCs w:val="20"/>
          </w:rPr>
          <w:t xml:space="preserve">Page </w:t>
        </w:r>
        <w:r w:rsidRPr="008E4A87">
          <w:rPr>
            <w:rFonts w:ascii="Tenorite" w:hAnsi="Tenorite"/>
            <w:b/>
            <w:bCs/>
            <w:sz w:val="20"/>
            <w:szCs w:val="20"/>
          </w:rPr>
          <w:fldChar w:fldCharType="begin"/>
        </w:r>
        <w:r w:rsidRPr="008E4A87">
          <w:rPr>
            <w:rFonts w:ascii="Tenorite" w:hAnsi="Tenorite"/>
            <w:b/>
            <w:bCs/>
            <w:sz w:val="20"/>
            <w:szCs w:val="20"/>
          </w:rPr>
          <w:instrText>PAGE  \* Arabic  \* MERGEFORMAT</w:instrText>
        </w:r>
        <w:r w:rsidRPr="008E4A87">
          <w:rPr>
            <w:rFonts w:ascii="Tenorite" w:hAnsi="Tenorite"/>
            <w:b/>
            <w:bCs/>
            <w:sz w:val="20"/>
            <w:szCs w:val="20"/>
          </w:rPr>
          <w:fldChar w:fldCharType="separate"/>
        </w:r>
        <w:r w:rsidR="005D2D85">
          <w:rPr>
            <w:rFonts w:ascii="Tenorite" w:hAnsi="Tenorite"/>
            <w:b/>
            <w:bCs/>
            <w:noProof/>
            <w:sz w:val="20"/>
            <w:szCs w:val="20"/>
          </w:rPr>
          <w:t>6</w:t>
        </w:r>
        <w:r w:rsidRPr="008E4A87">
          <w:rPr>
            <w:rFonts w:ascii="Tenorite" w:hAnsi="Tenorite"/>
            <w:b/>
            <w:bCs/>
            <w:sz w:val="20"/>
            <w:szCs w:val="20"/>
          </w:rPr>
          <w:fldChar w:fldCharType="end"/>
        </w:r>
        <w:r w:rsidRPr="008E4A87">
          <w:rPr>
            <w:rFonts w:ascii="Tenorite" w:hAnsi="Tenorite"/>
            <w:sz w:val="20"/>
            <w:szCs w:val="20"/>
          </w:rPr>
          <w:t xml:space="preserve"> sur </w:t>
        </w:r>
        <w:r w:rsidRPr="008E4A87">
          <w:rPr>
            <w:rFonts w:ascii="Tenorite" w:hAnsi="Tenorite"/>
            <w:b/>
            <w:bCs/>
            <w:sz w:val="20"/>
            <w:szCs w:val="20"/>
          </w:rPr>
          <w:fldChar w:fldCharType="begin"/>
        </w:r>
        <w:r w:rsidRPr="008E4A87">
          <w:rPr>
            <w:rFonts w:ascii="Tenorite" w:hAnsi="Tenorite"/>
            <w:b/>
            <w:bCs/>
            <w:sz w:val="20"/>
            <w:szCs w:val="20"/>
          </w:rPr>
          <w:instrText>NUMPAGES  \* Arabic  \* MERGEFORMAT</w:instrText>
        </w:r>
        <w:r w:rsidRPr="008E4A87">
          <w:rPr>
            <w:rFonts w:ascii="Tenorite" w:hAnsi="Tenorite"/>
            <w:b/>
            <w:bCs/>
            <w:sz w:val="20"/>
            <w:szCs w:val="20"/>
          </w:rPr>
          <w:fldChar w:fldCharType="separate"/>
        </w:r>
        <w:r w:rsidR="005D2D85">
          <w:rPr>
            <w:rFonts w:ascii="Tenorite" w:hAnsi="Tenorite"/>
            <w:b/>
            <w:bCs/>
            <w:noProof/>
            <w:sz w:val="20"/>
            <w:szCs w:val="20"/>
          </w:rPr>
          <w:t>6</w:t>
        </w:r>
        <w:r w:rsidRPr="008E4A87">
          <w:rPr>
            <w:rFonts w:ascii="Tenorite" w:hAnsi="Tenorite"/>
            <w:b/>
            <w:bCs/>
            <w:sz w:val="20"/>
            <w:szCs w:val="20"/>
          </w:rPr>
          <w:fldChar w:fldCharType="end"/>
        </w:r>
      </w:p>
      <w:p w14:paraId="4E563226" w14:textId="5F9DFB7D" w:rsidR="000C0DEF" w:rsidRPr="008E4A87" w:rsidRDefault="0036141E" w:rsidP="0036141E">
        <w:pPr>
          <w:pStyle w:val="Pieddepage"/>
          <w:ind w:right="566"/>
          <w:jc w:val="right"/>
          <w:rPr>
            <w:rFonts w:ascii="Tenorite" w:hAnsi="Tenorite"/>
            <w:sz w:val="20"/>
            <w:szCs w:val="20"/>
          </w:rPr>
        </w:pPr>
      </w:p>
    </w:sdtContent>
  </w:sdt>
  <w:p w14:paraId="5BCEC587" w14:textId="2C0060BF" w:rsidR="000C0DEF" w:rsidRDefault="000C0DEF" w:rsidP="000C0DEF">
    <w:pPr>
      <w:pStyle w:val="Pieddepage"/>
      <w:tabs>
        <w:tab w:val="clear" w:pos="4536"/>
        <w:tab w:val="clear" w:pos="9072"/>
        <w:tab w:val="left" w:pos="3210"/>
      </w:tabs>
      <w:ind w:right="113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73887" w14:textId="77777777" w:rsidR="0036141E" w:rsidRDefault="0036141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A0E76" w14:textId="77777777" w:rsidR="000C0DEF" w:rsidRDefault="000C0DEF" w:rsidP="000C0DEF">
      <w:pPr>
        <w:spacing w:after="0" w:line="240" w:lineRule="auto"/>
      </w:pPr>
      <w:r>
        <w:separator/>
      </w:r>
    </w:p>
  </w:footnote>
  <w:footnote w:type="continuationSeparator" w:id="0">
    <w:p w14:paraId="7155249D" w14:textId="77777777" w:rsidR="000C0DEF" w:rsidRDefault="000C0DE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36141E">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2056"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4833F" w14:textId="1C7BAD78" w:rsidR="0036141E" w:rsidRDefault="0036141E" w:rsidP="005F3EA3">
    <w:pPr>
      <w:pStyle w:val="En-tte"/>
      <w:rPr>
        <w:noProof/>
        <w:lang w:eastAsia="fr-FR"/>
      </w:rPr>
    </w:pPr>
    <w:r>
      <w:rPr>
        <w:rFonts w:ascii="Verdana" w:eastAsia="Times New Roman" w:hAnsi="Verdana" w:cs="Times New Roman"/>
        <w:noProof/>
        <w:sz w:val="20"/>
        <w:szCs w:val="20"/>
        <w:lang w:eastAsia="fr-FR"/>
      </w:rPr>
      <w:drawing>
        <wp:anchor distT="0" distB="0" distL="114300" distR="114300" simplePos="0" relativeHeight="251669504" behindDoc="0" locked="0" layoutInCell="1" allowOverlap="1" wp14:anchorId="4FBA9B8D" wp14:editId="56E36F78">
          <wp:simplePos x="0" y="0"/>
          <wp:positionH relativeFrom="margin">
            <wp:align>left</wp:align>
          </wp:positionH>
          <wp:positionV relativeFrom="paragraph">
            <wp:posOffset>635</wp:posOffset>
          </wp:positionV>
          <wp:extent cx="561484" cy="685800"/>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1" cstate="print">
                    <a:extLst>
                      <a:ext uri="{28A0092B-C50C-407E-A947-70E740481C1C}">
                        <a14:useLocalDpi xmlns:a14="http://schemas.microsoft.com/office/drawing/2010/main" val="0"/>
                      </a:ext>
                    </a:extLst>
                  </a:blip>
                  <a:stretch>
                    <a:fillRect/>
                  </a:stretch>
                </pic:blipFill>
                <pic:spPr>
                  <a:xfrm>
                    <a:off x="0" y="0"/>
                    <a:ext cx="561484" cy="685800"/>
                  </a:xfrm>
                  <a:prstGeom prst="rect">
                    <a:avLst/>
                  </a:prstGeom>
                </pic:spPr>
              </pic:pic>
            </a:graphicData>
          </a:graphic>
          <wp14:sizeRelH relativeFrom="page">
            <wp14:pctWidth>0</wp14:pctWidth>
          </wp14:sizeRelH>
          <wp14:sizeRelV relativeFrom="page">
            <wp14:pctHeight>0</wp14:pctHeight>
          </wp14:sizeRelV>
        </wp:anchor>
      </w:drawing>
    </w:r>
  </w:p>
  <w:p w14:paraId="72CC9A4C" w14:textId="77777777" w:rsidR="0036141E" w:rsidRDefault="0036141E" w:rsidP="005F3EA3">
    <w:pPr>
      <w:pStyle w:val="En-tte"/>
      <w:rPr>
        <w:noProof/>
        <w:lang w:eastAsia="fr-FR"/>
      </w:rPr>
    </w:pPr>
  </w:p>
  <w:p w14:paraId="405ABC33" w14:textId="67C45A64" w:rsidR="0036141E" w:rsidRPr="000C0DEF" w:rsidRDefault="0036141E" w:rsidP="005F3EA3">
    <w:pPr>
      <w:pStyle w:val="En-tte"/>
    </w:pPr>
    <w:r>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2057"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36141E">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2055"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inkAnnotations="0"/>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11AE2"/>
    <w:rsid w:val="000255A7"/>
    <w:rsid w:val="000C0DEF"/>
    <w:rsid w:val="000C1A95"/>
    <w:rsid w:val="000E7034"/>
    <w:rsid w:val="0012180A"/>
    <w:rsid w:val="001260B8"/>
    <w:rsid w:val="001268D4"/>
    <w:rsid w:val="00157697"/>
    <w:rsid w:val="001B42BB"/>
    <w:rsid w:val="001D3E9A"/>
    <w:rsid w:val="00240194"/>
    <w:rsid w:val="002852D5"/>
    <w:rsid w:val="002B7CB6"/>
    <w:rsid w:val="002D342B"/>
    <w:rsid w:val="002F17D1"/>
    <w:rsid w:val="0030472A"/>
    <w:rsid w:val="0035466B"/>
    <w:rsid w:val="0036141E"/>
    <w:rsid w:val="00361674"/>
    <w:rsid w:val="003867AB"/>
    <w:rsid w:val="003B0446"/>
    <w:rsid w:val="00473C50"/>
    <w:rsid w:val="004B6D49"/>
    <w:rsid w:val="004C13CD"/>
    <w:rsid w:val="004D4724"/>
    <w:rsid w:val="004F67EF"/>
    <w:rsid w:val="004F7DEF"/>
    <w:rsid w:val="005128AE"/>
    <w:rsid w:val="00513F68"/>
    <w:rsid w:val="005145ED"/>
    <w:rsid w:val="0053109A"/>
    <w:rsid w:val="005335D7"/>
    <w:rsid w:val="00537F7B"/>
    <w:rsid w:val="00544953"/>
    <w:rsid w:val="00556136"/>
    <w:rsid w:val="005A2FD4"/>
    <w:rsid w:val="005D2D85"/>
    <w:rsid w:val="005F005A"/>
    <w:rsid w:val="005F38B8"/>
    <w:rsid w:val="005F3EA3"/>
    <w:rsid w:val="005F79C3"/>
    <w:rsid w:val="00642D6C"/>
    <w:rsid w:val="0071592F"/>
    <w:rsid w:val="00744485"/>
    <w:rsid w:val="007447D0"/>
    <w:rsid w:val="00764235"/>
    <w:rsid w:val="00795687"/>
    <w:rsid w:val="007F2AEC"/>
    <w:rsid w:val="00816AAF"/>
    <w:rsid w:val="00847B55"/>
    <w:rsid w:val="00850FC1"/>
    <w:rsid w:val="008B3842"/>
    <w:rsid w:val="008B7276"/>
    <w:rsid w:val="008B7919"/>
    <w:rsid w:val="008C31CF"/>
    <w:rsid w:val="008E4A87"/>
    <w:rsid w:val="00901715"/>
    <w:rsid w:val="009B4796"/>
    <w:rsid w:val="009E1BC6"/>
    <w:rsid w:val="00A44451"/>
    <w:rsid w:val="00A63508"/>
    <w:rsid w:val="00A92444"/>
    <w:rsid w:val="00AA5364"/>
    <w:rsid w:val="00AE3BA9"/>
    <w:rsid w:val="00B72E15"/>
    <w:rsid w:val="00BF1263"/>
    <w:rsid w:val="00BF4B08"/>
    <w:rsid w:val="00C340F1"/>
    <w:rsid w:val="00C871A3"/>
    <w:rsid w:val="00CD72B5"/>
    <w:rsid w:val="00D025D4"/>
    <w:rsid w:val="00DD25D3"/>
    <w:rsid w:val="00DE25A1"/>
    <w:rsid w:val="00E2309A"/>
    <w:rsid w:val="00E33AF3"/>
    <w:rsid w:val="00E57127"/>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BF4B08"/>
    <w:rPr>
      <w:strike w:val="0"/>
      <w:dstrike w:val="0"/>
      <w:color w:val="0000FF"/>
      <w:u w:val="none"/>
      <w:effect w:val="none"/>
    </w:rPr>
  </w:style>
  <w:style w:type="paragraph" w:styleId="Textebrut">
    <w:name w:val="Plain Text"/>
    <w:basedOn w:val="Normal"/>
    <w:link w:val="TextebrutCar"/>
    <w:uiPriority w:val="99"/>
    <w:unhideWhenUsed/>
    <w:rsid w:val="008B3842"/>
    <w:pPr>
      <w:spacing w:after="0" w:line="240" w:lineRule="auto"/>
    </w:pPr>
    <w:rPr>
      <w:rFonts w:ascii="Calibri" w:hAnsi="Calibri"/>
      <w:szCs w:val="21"/>
    </w:rPr>
  </w:style>
  <w:style w:type="character" w:customStyle="1" w:styleId="TextebrutCar">
    <w:name w:val="Texte brut Car"/>
    <w:basedOn w:val="Policepardfaut"/>
    <w:link w:val="Textebrut"/>
    <w:uiPriority w:val="99"/>
    <w:rsid w:val="008B3842"/>
    <w:rPr>
      <w:rFonts w:ascii="Calibri" w:hAnsi="Calibri"/>
      <w:szCs w:val="21"/>
    </w:rPr>
  </w:style>
  <w:style w:type="character" w:customStyle="1" w:styleId="badge-envigueur">
    <w:name w:val="badge-envigueur"/>
    <w:basedOn w:val="Policepardfaut"/>
    <w:rsid w:val="00850FC1"/>
  </w:style>
  <w:style w:type="character" w:styleId="Lienhypertextesuivivisit">
    <w:name w:val="FollowedHyperlink"/>
    <w:basedOn w:val="Policepardfaut"/>
    <w:uiPriority w:val="99"/>
    <w:semiHidden/>
    <w:unhideWhenUsed/>
    <w:rsid w:val="000E7034"/>
    <w:rPr>
      <w:color w:val="954F72" w:themeColor="followedHyperlink"/>
      <w:u w:val="single"/>
    </w:rPr>
  </w:style>
  <w:style w:type="paragraph" w:customStyle="1" w:styleId="title-bold">
    <w:name w:val="title-bold"/>
    <w:basedOn w:val="Normal"/>
    <w:rsid w:val="00E2309A"/>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FR/TXT/PDF/?uri=OJ:L_202402959" TargetMode="External"/><Relationship Id="rId18" Type="http://schemas.openxmlformats.org/officeDocument/2006/relationships/hyperlink" Target="https://eur-lex.europa.eu/legal-content/FR/TXT/PDF/?uri=OJ:L_202402865" TargetMode="External"/><Relationship Id="rId26" Type="http://schemas.openxmlformats.org/officeDocument/2006/relationships/hyperlink" Target="https://info.agriculture.gouv.fr/boagri/instruction-2024-705" TargetMode="External"/><Relationship Id="rId39" Type="http://schemas.openxmlformats.org/officeDocument/2006/relationships/hyperlink" Target="https://www.plateforme-sca.fr/ndeg122-19-novembre-2024" TargetMode="External"/><Relationship Id="rId21" Type="http://schemas.openxmlformats.org/officeDocument/2006/relationships/hyperlink" Target="https://eur-lex.europa.eu/legal-content/FR/TXT/PDF/?uri=OJ:L_202402806" TargetMode="External"/><Relationship Id="rId34" Type="http://schemas.openxmlformats.org/officeDocument/2006/relationships/hyperlink" Target="https://eur-lex.europa.eu/legal-content/FR/TXT/PDF/?uri=OJ:L_202403199" TargetMode="External"/><Relationship Id="rId42" Type="http://schemas.openxmlformats.org/officeDocument/2006/relationships/hyperlink" Target="https://eur-lex.europa.eu/legal-content/FR/TXT/PDF/?uri=OJ:L_202402895" TargetMode="External"/><Relationship Id="rId47" Type="http://schemas.openxmlformats.org/officeDocument/2006/relationships/hyperlink" Target="https://info.agriculture.gouv.fr/boagri/instruction-2024-689" TargetMode="External"/><Relationship Id="rId50" Type="http://schemas.openxmlformats.org/officeDocument/2006/relationships/hyperlink" Target="https://www.legifrance.gouv.fr/ceta/id/CETATEXT000050479059" TargetMode="External"/><Relationship Id="rId55" Type="http://schemas.openxmlformats.org/officeDocument/2006/relationships/hyperlink" Target="https://eur-lex.europa.eu/legal-content/FR/TXT/PDF/?uri=OJ:L_202402975" TargetMode="External"/><Relationship Id="rId63" Type="http://schemas.openxmlformats.org/officeDocument/2006/relationships/hyperlink" Target="https://info.agriculture.gouv.fr/boagri/instruction-2024-697" TargetMode="External"/><Relationship Id="rId68" Type="http://schemas.openxmlformats.org/officeDocument/2006/relationships/hyperlink" Target="https://www.legifrance.gouv.fr/jorf/id/JORFTEXT000050714896" TargetMode="External"/><Relationship Id="rId76" Type="http://schemas.openxmlformats.org/officeDocument/2006/relationships/footer" Target="footer1.xml"/><Relationship Id="rId7" Type="http://schemas.openxmlformats.org/officeDocument/2006/relationships/hyperlink" Target="https://www.legifrance.gouv.fr/jorf/id/JORFTEXT000050798132" TargetMode="External"/><Relationship Id="rId71" Type="http://schemas.openxmlformats.org/officeDocument/2006/relationships/hyperlink" Target="https://info.agriculture.gouv.fr/boagri/instruction-2024-734" TargetMode="External"/><Relationship Id="rId2" Type="http://schemas.openxmlformats.org/officeDocument/2006/relationships/styles" Target="styles.xml"/><Relationship Id="rId16" Type="http://schemas.openxmlformats.org/officeDocument/2006/relationships/hyperlink" Target="https://eur-lex.europa.eu/legal-content/FR/TXT/PDF/?uri=OJ:L_202402863" TargetMode="External"/><Relationship Id="rId29" Type="http://schemas.openxmlformats.org/officeDocument/2006/relationships/hyperlink" Target="https://eur-lex.europa.eu/legal-content/FR/TXT/PDF/?uri=OJ:L_202402945" TargetMode="External"/><Relationship Id="rId11" Type="http://schemas.openxmlformats.org/officeDocument/2006/relationships/hyperlink" Target="https://eur-lex.europa.eu/legal-content/FR/TXT/PDF/?uri=OJ:C_202490094" TargetMode="External"/><Relationship Id="rId24" Type="http://schemas.openxmlformats.org/officeDocument/2006/relationships/hyperlink" Target="https://eur-lex.europa.eu/legal-content/FR/TXT/PDF/?uri=OJ:L_202402929" TargetMode="External"/><Relationship Id="rId32" Type="http://schemas.openxmlformats.org/officeDocument/2006/relationships/hyperlink" Target="https://eur-lex.europa.eu/legal-content/FR/TXT/PDF/?uri=OJ:L_202402948" TargetMode="External"/><Relationship Id="rId37" Type="http://schemas.openxmlformats.org/officeDocument/2006/relationships/hyperlink" Target="https://eur-lex.europa.eu/legal-content/FR/TXT/PDF/?uri=OJ:C_202407194" TargetMode="External"/><Relationship Id="rId40" Type="http://schemas.openxmlformats.org/officeDocument/2006/relationships/hyperlink" Target="https://www.plateforme-sca.fr/ndeg123-13-decembre-2024" TargetMode="External"/><Relationship Id="rId45" Type="http://schemas.openxmlformats.org/officeDocument/2006/relationships/hyperlink" Target="https://eur-lex.europa.eu/legal-content/FR/TXT/PDF/?uri=OJ:L_202490741" TargetMode="External"/><Relationship Id="rId53" Type="http://schemas.openxmlformats.org/officeDocument/2006/relationships/hyperlink" Target="https://eur-lex.europa.eu/legal-content/FR/TXT/PDF/?uri=OJ:L_202402794" TargetMode="External"/><Relationship Id="rId58" Type="http://schemas.openxmlformats.org/officeDocument/2006/relationships/hyperlink" Target="https://eur-lex.europa.eu/legal-content/FR/TXT/PDF/?uri=OJ:L_202403121" TargetMode="External"/><Relationship Id="rId66" Type="http://schemas.openxmlformats.org/officeDocument/2006/relationships/hyperlink" Target="https://eur-lex.europa.eu/legal-content/FR/TXT/PDF/?uri=OJ:C_202407254" TargetMode="External"/><Relationship Id="rId74" Type="http://schemas.openxmlformats.org/officeDocument/2006/relationships/header" Target="header1.xml"/><Relationship Id="rId79" Type="http://schemas.openxmlformats.org/officeDocument/2006/relationships/footer" Target="footer3.xml"/><Relationship Id="rId5" Type="http://schemas.openxmlformats.org/officeDocument/2006/relationships/footnotes" Target="footnotes.xml"/><Relationship Id="rId61" Type="http://schemas.openxmlformats.org/officeDocument/2006/relationships/hyperlink" Target="https://info.agriculture.gouv.fr/boagri/instruction-2024-615" TargetMode="External"/><Relationship Id="rId10" Type="http://schemas.openxmlformats.org/officeDocument/2006/relationships/hyperlink" Target="https://eur-lex.europa.eu/legal-content/FR/TXT/PDF/?uri=OJ:C_202406481" TargetMode="External"/><Relationship Id="rId19" Type="http://schemas.openxmlformats.org/officeDocument/2006/relationships/hyperlink" Target="https://eur-lex.europa.eu/legal-content/FR/TXT/PDF/?uri=OJ:L_202402777" TargetMode="External"/><Relationship Id="rId31" Type="http://schemas.openxmlformats.org/officeDocument/2006/relationships/hyperlink" Target="https://eur-lex.europa.eu/legal-content/FR/TXT/PDF/?uri=OJ:L_202402961" TargetMode="External"/><Relationship Id="rId44" Type="http://schemas.openxmlformats.org/officeDocument/2006/relationships/hyperlink" Target="https://info.agriculture.gouv.fr/boagri/instruction-2024-698" TargetMode="External"/><Relationship Id="rId52" Type="http://schemas.openxmlformats.org/officeDocument/2006/relationships/hyperlink" Target="https://info.agriculture.gouv.fr/boagri/instruction-2024-706" TargetMode="External"/><Relationship Id="rId60" Type="http://schemas.openxmlformats.org/officeDocument/2006/relationships/hyperlink" Target="https://info.agriculture.gouv.fr/boagri/instruction-2024-614" TargetMode="External"/><Relationship Id="rId65" Type="http://schemas.openxmlformats.org/officeDocument/2006/relationships/hyperlink" Target="https://eur-lex.europa.eu/legal-content/FR/TXT/PDF/?uri=OJ:L_202403115" TargetMode="External"/><Relationship Id="rId73" Type="http://schemas.openxmlformats.org/officeDocument/2006/relationships/hyperlink" Target="https://info.agriculture.gouv.fr/boagri/instruction-2024-627" TargetMode="External"/><Relationship Id="rId78" Type="http://schemas.openxmlformats.org/officeDocument/2006/relationships/header" Target="header3.xm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info.agriculture.gouv.fr/boagri/instruction-2024-617" TargetMode="External"/><Relationship Id="rId14" Type="http://schemas.openxmlformats.org/officeDocument/2006/relationships/hyperlink" Target="https://info.agriculture.gouv.fr/boagri/instruction-2024-605" TargetMode="External"/><Relationship Id="rId22" Type="http://schemas.openxmlformats.org/officeDocument/2006/relationships/hyperlink" Target="https://eur-lex.europa.eu/legal-content/FR/TXT/PDF/?uri=OJ:L_202402878" TargetMode="External"/><Relationship Id="rId27" Type="http://schemas.openxmlformats.org/officeDocument/2006/relationships/hyperlink" Target="https://eur-lex.europa.eu/legal-content/FR/TXT/PDF/?uri=OJ:L_202402964" TargetMode="External"/><Relationship Id="rId30" Type="http://schemas.openxmlformats.org/officeDocument/2006/relationships/hyperlink" Target="https://eur-lex.europa.eu/legal-content/FR/TXT/PDF/?uri=OJ:L_202402946" TargetMode="External"/><Relationship Id="rId35" Type="http://schemas.openxmlformats.org/officeDocument/2006/relationships/hyperlink" Target="https://info.agriculture.gouv.fr/boagri/instruction-2024-736" TargetMode="External"/><Relationship Id="rId43" Type="http://schemas.openxmlformats.org/officeDocument/2006/relationships/hyperlink" Target="https://knowledge4policy.ec.europa.eu/sites/default/files/202410_1.pdf" TargetMode="External"/><Relationship Id="rId48" Type="http://schemas.openxmlformats.org/officeDocument/2006/relationships/hyperlink" Target="https://eur-lex.europa.eu/legal-content/FR/TXT/PDF/?uri=OJ:L_202403084" TargetMode="External"/><Relationship Id="rId56" Type="http://schemas.openxmlformats.org/officeDocument/2006/relationships/hyperlink" Target="https://www.legifrance.gouv.fr/jorf/id/JORFTEXT000050872247" TargetMode="External"/><Relationship Id="rId64" Type="http://schemas.openxmlformats.org/officeDocument/2006/relationships/hyperlink" Target="https://eur-lex.europa.eu/legal-content/FR/TXT/PDF/?uri=OJ:L_202402970" TargetMode="External"/><Relationship Id="rId69" Type="http://schemas.openxmlformats.org/officeDocument/2006/relationships/hyperlink" Target="https://info.agriculture.gouv.fr/boagri/document_administratif-8fd5c82d-b2e2-4c50-9429-c18e464223bc" TargetMode="External"/><Relationship Id="rId77" Type="http://schemas.openxmlformats.org/officeDocument/2006/relationships/footer" Target="footer2.xml"/><Relationship Id="rId8" Type="http://schemas.openxmlformats.org/officeDocument/2006/relationships/hyperlink" Target="https://eur-lex.europa.eu/legal-content/FR/TXT/PDF/?uri=OJ:L_202402856" TargetMode="External"/><Relationship Id="rId51" Type="http://schemas.openxmlformats.org/officeDocument/2006/relationships/hyperlink" Target="https://eur-lex.europa.eu/legal-content/FR/TXT/PDF/?uri=OJ:L_202403190" TargetMode="External"/><Relationship Id="rId72" Type="http://schemas.openxmlformats.org/officeDocument/2006/relationships/hyperlink" Target="https://www.legifrance.gouv.fr/jorf/id/JORFTEXT000050668127"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info.agriculture.gouv.fr/boagri/instruction-2024-719" TargetMode="External"/><Relationship Id="rId17" Type="http://schemas.openxmlformats.org/officeDocument/2006/relationships/hyperlink" Target="https://eur-lex.europa.eu/legal-content/FR/TXT/PDF/?uri=OJ:L_202490724" TargetMode="External"/><Relationship Id="rId25" Type="http://schemas.openxmlformats.org/officeDocument/2006/relationships/hyperlink" Target="https://www.anses.fr/fr/system/files/REACH2022REACh0163.pdf" TargetMode="External"/><Relationship Id="rId33" Type="http://schemas.openxmlformats.org/officeDocument/2006/relationships/hyperlink" Target="https://eur-lex.europa.eu/legal-content/FR/TXT/PDF/?uri=OJ:L_202402950" TargetMode="External"/><Relationship Id="rId38" Type="http://schemas.openxmlformats.org/officeDocument/2006/relationships/hyperlink" Target="https://www.legifrance.gouv.fr/jorf/id/JORFTEXT000050755192" TargetMode="External"/><Relationship Id="rId46" Type="http://schemas.openxmlformats.org/officeDocument/2006/relationships/hyperlink" Target="https://eur-lex.europa.eu/legal-content/FR/TXT/PDF/?uri=OJ:L_202403153" TargetMode="External"/><Relationship Id="rId59" Type="http://schemas.openxmlformats.org/officeDocument/2006/relationships/hyperlink" Target="https://eur-lex.europa.eu/legal-content/FR/TXT/PDF/?uri=OJ:L_202403163" TargetMode="External"/><Relationship Id="rId67" Type="http://schemas.openxmlformats.org/officeDocument/2006/relationships/hyperlink" Target="https://info.agriculture.gouv.fr/boagri/instruction-2025-1" TargetMode="External"/><Relationship Id="rId20" Type="http://schemas.openxmlformats.org/officeDocument/2006/relationships/hyperlink" Target="https://eur-lex.europa.eu/legal-content/FR/TXT/PDF/?uri=OJ:L_202402781" TargetMode="External"/><Relationship Id="rId41" Type="http://schemas.openxmlformats.org/officeDocument/2006/relationships/hyperlink" Target="https://vigilanses.anses.fr/sites/default/files/VigilAnses_N24.pdf" TargetMode="External"/><Relationship Id="rId54" Type="http://schemas.openxmlformats.org/officeDocument/2006/relationships/hyperlink" Target="https://eur-lex.europa.eu/legal-content/FR/TXT/PDF/?uri=OJ:L_202402867" TargetMode="External"/><Relationship Id="rId62" Type="http://schemas.openxmlformats.org/officeDocument/2006/relationships/hyperlink" Target="https://info.agriculture.gouv.fr/boagri/instruction-2024-656" TargetMode="External"/><Relationship Id="rId70" Type="http://schemas.openxmlformats.org/officeDocument/2006/relationships/hyperlink" Target="https://eur-lex.europa.eu/legal-content/FR/TXT/PDF/?uri=OJ:L_202403119"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info.agriculture.gouv.fr/boagri/instruction-2024-606" TargetMode="External"/><Relationship Id="rId23" Type="http://schemas.openxmlformats.org/officeDocument/2006/relationships/hyperlink" Target="https://eur-lex.europa.eu/legal-content/FR/TXT/PDF/?uri=OJ:L_202402848" TargetMode="External"/><Relationship Id="rId28" Type="http://schemas.openxmlformats.org/officeDocument/2006/relationships/hyperlink" Target="https://eur-lex.europa.eu/legal-content/FR/TXT/PDF/?uri=OJ:L_202402930" TargetMode="External"/><Relationship Id="rId36" Type="http://schemas.openxmlformats.org/officeDocument/2006/relationships/hyperlink" Target="https://info.agriculture.gouv.fr/boagri/instruction-2024-651" TargetMode="External"/><Relationship Id="rId49" Type="http://schemas.openxmlformats.org/officeDocument/2006/relationships/hyperlink" Target="https://europa.eu/newsroom/ecpc-failover/pdf/inf-24-5223_fr.pdf" TargetMode="External"/><Relationship Id="rId57" Type="http://schemas.openxmlformats.org/officeDocument/2006/relationships/hyperlink" Target="https://eur-lex.europa.eu/legal-content/FR/TXT/PDF/?uri=OJ:L_20240309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8121BD-3C06-4FED-ACC7-770361F9F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3816</Words>
  <Characters>20993</Characters>
  <Application>Microsoft Office Word</Application>
  <DocSecurity>4</DocSecurity>
  <Lines>174</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Sylvie LEMAITRE</cp:lastModifiedBy>
  <cp:revision>2</cp:revision>
  <dcterms:created xsi:type="dcterms:W3CDTF">2025-01-22T10:12:00Z</dcterms:created>
  <dcterms:modified xsi:type="dcterms:W3CDTF">2025-01-22T10:12:00Z</dcterms:modified>
</cp:coreProperties>
</file>