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C1E2CD" w14:textId="3AC0BDA9" w:rsidR="00EC3176" w:rsidRDefault="00EC3176" w:rsidP="00EC3176">
      <w:pPr>
        <w:tabs>
          <w:tab w:val="left" w:pos="6345"/>
        </w:tabs>
        <w:spacing w:after="0" w:line="240" w:lineRule="auto"/>
        <w:jc w:val="center"/>
        <w:rPr>
          <w:rFonts w:ascii="Tenorite" w:hAnsi="Tenorite" w:cs="Tahoma"/>
          <w:b/>
          <w:color w:val="EF671A"/>
          <w:sz w:val="32"/>
          <w:szCs w:val="32"/>
          <w:u w:val="single"/>
        </w:rPr>
      </w:pPr>
      <w:r>
        <w:rPr>
          <w:rFonts w:ascii="Tenorite" w:hAnsi="Tenorite" w:cs="Tahoma"/>
          <w:b/>
          <w:color w:val="EF671A"/>
          <w:sz w:val="32"/>
          <w:szCs w:val="32"/>
          <w:u w:val="single"/>
        </w:rPr>
        <w:t>BULLETIN DE VEILLE REGLEMENTAIRE</w:t>
      </w:r>
    </w:p>
    <w:p w14:paraId="61EE2184" w14:textId="6D7432C6" w:rsidR="00EC3176" w:rsidRDefault="00EC3176" w:rsidP="00EC3176">
      <w:pPr>
        <w:spacing w:after="0" w:line="240" w:lineRule="auto"/>
        <w:jc w:val="center"/>
        <w:rPr>
          <w:rFonts w:ascii="Tenorite" w:hAnsi="Tenorite" w:cs="Tahoma"/>
          <w:b/>
          <w:color w:val="EF671A"/>
          <w:sz w:val="32"/>
          <w:szCs w:val="32"/>
          <w:u w:val="single"/>
        </w:rPr>
      </w:pPr>
      <w:r>
        <w:rPr>
          <w:rFonts w:ascii="Tenorite" w:hAnsi="Tenorite" w:cs="Tahoma"/>
          <w:b/>
          <w:color w:val="EF671A"/>
          <w:sz w:val="32"/>
          <w:szCs w:val="32"/>
          <w:u w:val="single"/>
        </w:rPr>
        <w:t>N° 2 – février 2025</w:t>
      </w:r>
    </w:p>
    <w:p w14:paraId="350F764C" w14:textId="77777777" w:rsidR="00EC3176" w:rsidRDefault="00EC3176" w:rsidP="00EC3176">
      <w:pPr>
        <w:jc w:val="center"/>
      </w:pPr>
      <w:r w:rsidRPr="00AE7BB3">
        <w:rPr>
          <w:rFonts w:ascii="Trebuchet MS" w:hAnsi="Trebuchet MS" w:cs="Arial"/>
          <w:sz w:val="26"/>
          <w:szCs w:val="26"/>
        </w:rPr>
        <w:t>Sécurité des aliments et information du consommateur (France et Europe)</w:t>
      </w:r>
    </w:p>
    <w:p w14:paraId="265BFD8F" w14:textId="77777777" w:rsidR="00EC3176" w:rsidRDefault="00EC3176" w:rsidP="002D18D8">
      <w:pPr>
        <w:spacing w:after="0" w:line="240" w:lineRule="auto"/>
        <w:ind w:left="142"/>
        <w:jc w:val="center"/>
        <w:rPr>
          <w:rFonts w:ascii="Tenorite" w:hAnsi="Tenorite" w:cs="Tahoma"/>
          <w:b/>
          <w:color w:val="EF671A"/>
          <w:sz w:val="32"/>
          <w:szCs w:val="32"/>
          <w:u w:val="single"/>
        </w:rPr>
      </w:pPr>
    </w:p>
    <w:p w14:paraId="6E6C5449" w14:textId="3C26B108" w:rsidR="002B7CB6" w:rsidRPr="002D18D8" w:rsidRDefault="002B7CB6" w:rsidP="002D18D8">
      <w:pPr>
        <w:spacing w:after="0" w:line="240" w:lineRule="auto"/>
        <w:ind w:left="142"/>
        <w:jc w:val="center"/>
        <w:rPr>
          <w:rFonts w:ascii="Tenorite" w:hAnsi="Tenorite" w:cs="Tahoma"/>
          <w:b/>
          <w:color w:val="EF671A"/>
          <w:sz w:val="32"/>
          <w:szCs w:val="32"/>
          <w:u w:val="single"/>
        </w:rPr>
      </w:pPr>
      <w:r w:rsidRPr="002D18D8">
        <w:rPr>
          <w:rFonts w:ascii="Tenorite" w:hAnsi="Tenorite" w:cs="Tahoma"/>
          <w:b/>
          <w:color w:val="EF671A"/>
          <w:sz w:val="32"/>
          <w:szCs w:val="32"/>
          <w:u w:val="single"/>
        </w:rPr>
        <w:t xml:space="preserve">Partie 1 : Règlementation générale </w:t>
      </w:r>
    </w:p>
    <w:p w14:paraId="1606BA2E" w14:textId="77777777" w:rsidR="00EC3176" w:rsidRPr="002D18D8" w:rsidRDefault="00EC3176" w:rsidP="00EC3176">
      <w:pPr>
        <w:pStyle w:val="Textebrut"/>
        <w:ind w:left="142"/>
        <w:jc w:val="both"/>
        <w:rPr>
          <w:rFonts w:ascii="Tenorite" w:hAnsi="Tenorite"/>
          <w:sz w:val="18"/>
        </w:rPr>
      </w:pPr>
    </w:p>
    <w:p w14:paraId="4CEA5421" w14:textId="7CAD24D7" w:rsidR="002B7CB6" w:rsidRPr="002D18D8" w:rsidRDefault="002B7CB6" w:rsidP="002D18D8">
      <w:pPr>
        <w:shd w:val="clear" w:color="auto" w:fill="D9D9D9" w:themeFill="background1" w:themeFillShade="D9"/>
        <w:spacing w:after="0" w:line="240" w:lineRule="auto"/>
        <w:ind w:left="142"/>
        <w:rPr>
          <w:rFonts w:ascii="Tenorite" w:hAnsi="Tenorite"/>
          <w:b/>
          <w:color w:val="833C0B" w:themeColor="accent2" w:themeShade="80"/>
          <w:sz w:val="24"/>
        </w:rPr>
      </w:pPr>
      <w:r w:rsidRPr="002D18D8">
        <w:rPr>
          <w:rFonts w:ascii="Tenorite" w:hAnsi="Tenorite"/>
          <w:b/>
          <w:color w:val="833C0B" w:themeColor="accent2" w:themeShade="80"/>
          <w:sz w:val="24"/>
        </w:rPr>
        <w:t xml:space="preserve">ADDITIFS, </w:t>
      </w:r>
      <w:r w:rsidR="00767DBA" w:rsidRPr="002D18D8">
        <w:rPr>
          <w:rFonts w:ascii="Tenorite" w:hAnsi="Tenorite"/>
          <w:b/>
          <w:color w:val="833C0B" w:themeColor="accent2" w:themeShade="80"/>
          <w:sz w:val="24"/>
        </w:rPr>
        <w:t>ET INGREDIENTS</w:t>
      </w:r>
    </w:p>
    <w:p w14:paraId="6467CC38" w14:textId="2F9434C8" w:rsidR="00571D36" w:rsidRPr="003E58C5" w:rsidRDefault="00E92909" w:rsidP="002D18D8">
      <w:pPr>
        <w:spacing w:after="0" w:line="240" w:lineRule="auto"/>
        <w:ind w:left="142"/>
        <w:jc w:val="both"/>
        <w:rPr>
          <w:rFonts w:ascii="Tenorite" w:hAnsi="Tenorite"/>
          <w:color w:val="C45911" w:themeColor="accent2" w:themeShade="BF"/>
        </w:rPr>
      </w:pPr>
      <w:r w:rsidRPr="003E58C5">
        <w:rPr>
          <w:rFonts w:ascii="Tenorite" w:hAnsi="Tenorite"/>
          <w:color w:val="C45911" w:themeColor="accent2" w:themeShade="BF"/>
        </w:rPr>
        <w:t>Additifs</w:t>
      </w:r>
      <w:r>
        <w:rPr>
          <w:rFonts w:ascii="Tenorite" w:hAnsi="Tenorite"/>
          <w:color w:val="C45911" w:themeColor="accent2" w:themeShade="BF"/>
        </w:rPr>
        <w:t xml:space="preserve"> /</w:t>
      </w:r>
    </w:p>
    <w:p w14:paraId="2377D8B1" w14:textId="04DC7E86" w:rsidR="002B7CB6" w:rsidRPr="003E58C5" w:rsidRDefault="002B7CB6" w:rsidP="002D18D8">
      <w:pPr>
        <w:spacing w:after="0" w:line="240" w:lineRule="auto"/>
        <w:ind w:left="142"/>
        <w:jc w:val="both"/>
        <w:rPr>
          <w:rFonts w:ascii="Tenorite" w:hAnsi="Tenorite"/>
          <w:color w:val="C45911" w:themeColor="accent2" w:themeShade="BF"/>
        </w:rPr>
      </w:pPr>
      <w:r w:rsidRPr="003E58C5">
        <w:rPr>
          <w:rFonts w:ascii="Tenorite" w:hAnsi="Tenorite"/>
          <w:color w:val="C45911" w:themeColor="accent2" w:themeShade="BF"/>
        </w:rPr>
        <w:t>Arômes</w:t>
      </w:r>
      <w:r w:rsidR="00666EAA">
        <w:rPr>
          <w:rFonts w:ascii="Tenorite" w:hAnsi="Tenorite"/>
          <w:color w:val="C45911" w:themeColor="accent2" w:themeShade="BF"/>
        </w:rPr>
        <w:t xml:space="preserve"> /</w:t>
      </w:r>
    </w:p>
    <w:p w14:paraId="4AD695D9" w14:textId="77777777" w:rsidR="00E92909" w:rsidRPr="003E58C5" w:rsidRDefault="00E92909" w:rsidP="00E92909">
      <w:pPr>
        <w:spacing w:after="0" w:line="240" w:lineRule="auto"/>
        <w:ind w:left="142"/>
        <w:jc w:val="both"/>
        <w:rPr>
          <w:rFonts w:ascii="Tenorite" w:hAnsi="Tenorite"/>
          <w:color w:val="C45911" w:themeColor="accent2" w:themeShade="BF"/>
        </w:rPr>
      </w:pPr>
      <w:r w:rsidRPr="003E58C5">
        <w:rPr>
          <w:rFonts w:ascii="Tenorite" w:hAnsi="Tenorite"/>
          <w:color w:val="C45911" w:themeColor="accent2" w:themeShade="BF"/>
        </w:rPr>
        <w:t>Colorants</w:t>
      </w:r>
      <w:r>
        <w:rPr>
          <w:rFonts w:ascii="Tenorite" w:hAnsi="Tenorite"/>
          <w:color w:val="C45911" w:themeColor="accent2" w:themeShade="BF"/>
        </w:rPr>
        <w:t xml:space="preserve"> /</w:t>
      </w:r>
    </w:p>
    <w:p w14:paraId="253F7A21" w14:textId="33763681" w:rsidR="00E92909" w:rsidRPr="003E58C5" w:rsidRDefault="00E92909" w:rsidP="00E92909">
      <w:pPr>
        <w:spacing w:after="0" w:line="240" w:lineRule="auto"/>
        <w:ind w:left="142"/>
        <w:jc w:val="both"/>
        <w:rPr>
          <w:rFonts w:ascii="Tenorite" w:hAnsi="Tenorite"/>
          <w:color w:val="C45911" w:themeColor="accent2" w:themeShade="BF"/>
        </w:rPr>
      </w:pPr>
      <w:r w:rsidRPr="003E58C5">
        <w:rPr>
          <w:rFonts w:ascii="Tenorite" w:hAnsi="Tenorite"/>
          <w:color w:val="C45911" w:themeColor="accent2" w:themeShade="BF"/>
        </w:rPr>
        <w:t xml:space="preserve">Novel Food </w:t>
      </w:r>
      <w:r>
        <w:rPr>
          <w:rFonts w:ascii="Tenorite" w:hAnsi="Tenorite"/>
          <w:color w:val="C45911" w:themeColor="accent2" w:themeShade="BF"/>
        </w:rPr>
        <w:t>/</w:t>
      </w:r>
    </w:p>
    <w:p w14:paraId="47C0C303" w14:textId="48C78749" w:rsidR="002B7CB6" w:rsidRPr="003E58C5" w:rsidRDefault="002B7CB6" w:rsidP="002D18D8">
      <w:pPr>
        <w:spacing w:after="0" w:line="240" w:lineRule="auto"/>
        <w:ind w:left="142"/>
        <w:jc w:val="both"/>
        <w:rPr>
          <w:rFonts w:ascii="Tenorite" w:hAnsi="Tenorite"/>
          <w:color w:val="C45911" w:themeColor="accent2" w:themeShade="BF"/>
        </w:rPr>
      </w:pPr>
      <w:r w:rsidRPr="003E58C5">
        <w:rPr>
          <w:rFonts w:ascii="Tenorite" w:hAnsi="Tenorite"/>
          <w:color w:val="C45911" w:themeColor="accent2" w:themeShade="BF"/>
        </w:rPr>
        <w:t>Auxiliaires technologiques</w:t>
      </w:r>
    </w:p>
    <w:p w14:paraId="76E3C779" w14:textId="77777777" w:rsidR="00582498" w:rsidRPr="003E58C5" w:rsidRDefault="00582498" w:rsidP="002D18D8">
      <w:pPr>
        <w:pStyle w:val="Textebrut"/>
        <w:ind w:left="142"/>
        <w:rPr>
          <w:rFonts w:ascii="Tenorite" w:hAnsi="Tenorite"/>
          <w:szCs w:val="22"/>
        </w:rPr>
      </w:pPr>
      <w:hyperlink r:id="rId7" w:history="1">
        <w:r w:rsidRPr="003E58C5">
          <w:rPr>
            <w:rStyle w:val="Lienhypertexte"/>
            <w:rFonts w:ascii="Tenorite" w:hAnsi="Tenorite"/>
            <w:szCs w:val="22"/>
          </w:rPr>
          <w:t>Arrêté</w:t>
        </w:r>
      </w:hyperlink>
      <w:r w:rsidRPr="003E58C5">
        <w:rPr>
          <w:rFonts w:ascii="Tenorite" w:hAnsi="Tenorite"/>
          <w:szCs w:val="22"/>
        </w:rPr>
        <w:t xml:space="preserve"> du 31 janvier 2025 modifiant l'arrêté du 19 octobre 2006 relatif à l'emploi d'auxiliaires technologiques dans la fabrication de certaines denrées alimentaires (JORF 15/02/2025)</w:t>
      </w:r>
    </w:p>
    <w:p w14:paraId="28F91B7E" w14:textId="77777777" w:rsidR="00571D36" w:rsidRPr="003E58C5" w:rsidRDefault="00571D36" w:rsidP="002D18D8">
      <w:pPr>
        <w:spacing w:after="0" w:line="240" w:lineRule="auto"/>
        <w:ind w:left="142"/>
        <w:jc w:val="both"/>
        <w:rPr>
          <w:rFonts w:ascii="Tenorite" w:hAnsi="Tenorite"/>
          <w:color w:val="C45911" w:themeColor="accent2" w:themeShade="BF"/>
        </w:rPr>
      </w:pPr>
    </w:p>
    <w:p w14:paraId="6A5A582F" w14:textId="5915CD60" w:rsidR="00F74CE4" w:rsidRPr="002D18D8" w:rsidRDefault="00F74CE4" w:rsidP="003E58C5">
      <w:pPr>
        <w:pStyle w:val="Textebrut"/>
        <w:ind w:left="142"/>
        <w:jc w:val="both"/>
        <w:rPr>
          <w:rFonts w:ascii="Tenorite" w:hAnsi="Tenorite"/>
          <w:sz w:val="18"/>
        </w:rPr>
      </w:pPr>
    </w:p>
    <w:p w14:paraId="19693B20" w14:textId="77777777" w:rsidR="002B7CB6" w:rsidRPr="002D18D8" w:rsidRDefault="002B7CB6" w:rsidP="002D18D8">
      <w:pPr>
        <w:shd w:val="clear" w:color="auto" w:fill="D9D9D9" w:themeFill="background1" w:themeFillShade="D9"/>
        <w:spacing w:after="0" w:line="240" w:lineRule="auto"/>
        <w:ind w:left="142"/>
        <w:rPr>
          <w:rFonts w:ascii="Tenorite" w:hAnsi="Tenorite"/>
          <w:b/>
          <w:color w:val="833C0B" w:themeColor="accent2" w:themeShade="80"/>
          <w:sz w:val="24"/>
        </w:rPr>
      </w:pPr>
      <w:r w:rsidRPr="002D18D8">
        <w:rPr>
          <w:rFonts w:ascii="Tenorite" w:hAnsi="Tenorite"/>
          <w:b/>
          <w:color w:val="833C0B" w:themeColor="accent2" w:themeShade="80"/>
          <w:sz w:val="24"/>
        </w:rPr>
        <w:t>ANALYSE ET CONTROLE</w:t>
      </w:r>
    </w:p>
    <w:p w14:paraId="1B80C70B" w14:textId="74700031" w:rsidR="008C0BA9" w:rsidRPr="003E58C5" w:rsidRDefault="00767DBA" w:rsidP="002D18D8">
      <w:pPr>
        <w:spacing w:after="0" w:line="240" w:lineRule="auto"/>
        <w:ind w:left="142"/>
        <w:jc w:val="both"/>
        <w:rPr>
          <w:rFonts w:ascii="Tenorite" w:hAnsi="Tenorite"/>
          <w:color w:val="C45911" w:themeColor="accent2" w:themeShade="BF"/>
        </w:rPr>
      </w:pPr>
      <w:r w:rsidRPr="003E58C5">
        <w:rPr>
          <w:rFonts w:ascii="Tenorite" w:hAnsi="Tenorite"/>
          <w:color w:val="C45911" w:themeColor="accent2" w:themeShade="BF"/>
        </w:rPr>
        <w:t>Analyses</w:t>
      </w:r>
      <w:r w:rsidR="00E92909">
        <w:rPr>
          <w:rFonts w:ascii="Tenorite" w:hAnsi="Tenorite"/>
          <w:color w:val="C45911" w:themeColor="accent2" w:themeShade="BF"/>
        </w:rPr>
        <w:t xml:space="preserve"> </w:t>
      </w:r>
      <w:r w:rsidR="002D18D8" w:rsidRPr="003E58C5">
        <w:rPr>
          <w:rFonts w:ascii="Tenorite" w:hAnsi="Tenorite"/>
          <w:color w:val="C45911" w:themeColor="accent2" w:themeShade="BF"/>
        </w:rPr>
        <w:t>/</w:t>
      </w:r>
    </w:p>
    <w:p w14:paraId="306E4FFE" w14:textId="5DD87E85" w:rsidR="00767DBA" w:rsidRPr="003E58C5" w:rsidRDefault="00767DBA" w:rsidP="002D18D8">
      <w:pPr>
        <w:spacing w:after="0" w:line="240" w:lineRule="auto"/>
        <w:ind w:left="142"/>
        <w:rPr>
          <w:rFonts w:ascii="Tenorite" w:hAnsi="Tenorite"/>
          <w:color w:val="C45911" w:themeColor="accent2" w:themeShade="BF"/>
        </w:rPr>
      </w:pPr>
      <w:r w:rsidRPr="003E58C5">
        <w:rPr>
          <w:rFonts w:ascii="Tenorite" w:hAnsi="Tenorite"/>
          <w:color w:val="C45911" w:themeColor="accent2" w:themeShade="BF"/>
        </w:rPr>
        <w:t>Plans de contrôle, PSPC, …</w:t>
      </w:r>
    </w:p>
    <w:p w14:paraId="675FE353" w14:textId="77777777" w:rsidR="00120F64" w:rsidRPr="003E58C5" w:rsidRDefault="00120F64" w:rsidP="002D18D8">
      <w:pPr>
        <w:shd w:val="clear" w:color="auto" w:fill="FFFFFF"/>
        <w:spacing w:after="0" w:line="240" w:lineRule="auto"/>
        <w:ind w:left="142"/>
        <w:jc w:val="both"/>
        <w:rPr>
          <w:rFonts w:ascii="Tenorite" w:eastAsia="Times New Roman" w:hAnsi="Tenorite" w:cs="Times New Roman"/>
          <w:lang w:eastAsia="fr-FR"/>
        </w:rPr>
      </w:pPr>
      <w:r w:rsidRPr="003E58C5">
        <w:rPr>
          <w:rFonts w:ascii="Tenorite" w:eastAsia="Times New Roman" w:hAnsi="Tenorite" w:cs="Times New Roman"/>
          <w:b/>
          <w:bCs/>
          <w:lang w:eastAsia="fr-FR"/>
        </w:rPr>
        <w:t>Instruction technique </w:t>
      </w:r>
      <w:hyperlink r:id="rId8" w:history="1">
        <w:r w:rsidRPr="003E58C5">
          <w:rPr>
            <w:rFonts w:ascii="Tenorite" w:eastAsia="Times New Roman" w:hAnsi="Tenorite" w:cs="Times New Roman"/>
            <w:u w:val="single"/>
            <w:lang w:eastAsia="fr-FR"/>
          </w:rPr>
          <w:t>DGAL/SDEIGIR/2025-75</w:t>
        </w:r>
      </w:hyperlink>
      <w:r w:rsidRPr="003E58C5">
        <w:rPr>
          <w:rFonts w:ascii="Tenorite" w:eastAsia="Times New Roman" w:hAnsi="Tenorite" w:cs="Times New Roman"/>
          <w:lang w:eastAsia="fr-FR"/>
        </w:rPr>
        <w:t xml:space="preserve"> du 07-02-2025 - Dispositif PSPC - Plan de surveillance de la contamination des </w:t>
      </w:r>
      <w:r w:rsidRPr="003E58C5">
        <w:rPr>
          <w:rFonts w:ascii="Tenorite" w:eastAsia="Times New Roman" w:hAnsi="Tenorite" w:cs="Times New Roman"/>
          <w:b/>
          <w:bCs/>
          <w:lang w:eastAsia="fr-FR"/>
        </w:rPr>
        <w:t>fromages au lait cru</w:t>
      </w:r>
      <w:r w:rsidRPr="003E58C5">
        <w:rPr>
          <w:rFonts w:ascii="Tenorite" w:eastAsia="Times New Roman" w:hAnsi="Tenorite" w:cs="Times New Roman"/>
          <w:lang w:eastAsia="fr-FR"/>
        </w:rPr>
        <w:t xml:space="preserve"> par </w:t>
      </w:r>
      <w:r w:rsidRPr="003E58C5">
        <w:rPr>
          <w:rFonts w:ascii="Tenorite" w:eastAsia="Times New Roman" w:hAnsi="Tenorite" w:cs="Times New Roman"/>
          <w:b/>
          <w:bCs/>
          <w:lang w:eastAsia="fr-FR"/>
        </w:rPr>
        <w:t xml:space="preserve">Listeria monocytogenes, par Salmonella </w:t>
      </w:r>
      <w:proofErr w:type="spellStart"/>
      <w:r w:rsidRPr="003E58C5">
        <w:rPr>
          <w:rFonts w:ascii="Tenorite" w:eastAsia="Times New Roman" w:hAnsi="Tenorite" w:cs="Times New Roman"/>
          <w:b/>
          <w:bCs/>
          <w:lang w:eastAsia="fr-FR"/>
        </w:rPr>
        <w:t>spp</w:t>
      </w:r>
      <w:proofErr w:type="spellEnd"/>
      <w:r w:rsidRPr="003E58C5">
        <w:rPr>
          <w:rFonts w:ascii="Tenorite" w:eastAsia="Times New Roman" w:hAnsi="Tenorite" w:cs="Times New Roman"/>
          <w:b/>
          <w:bCs/>
          <w:lang w:eastAsia="fr-FR"/>
        </w:rPr>
        <w:t xml:space="preserve">. </w:t>
      </w:r>
      <w:proofErr w:type="gramStart"/>
      <w:r w:rsidRPr="003E58C5">
        <w:rPr>
          <w:rFonts w:ascii="Tenorite" w:eastAsia="Times New Roman" w:hAnsi="Tenorite" w:cs="Times New Roman"/>
          <w:b/>
          <w:bCs/>
          <w:lang w:eastAsia="fr-FR"/>
        </w:rPr>
        <w:t>et</w:t>
      </w:r>
      <w:proofErr w:type="gramEnd"/>
      <w:r w:rsidRPr="003E58C5">
        <w:rPr>
          <w:rFonts w:ascii="Tenorite" w:eastAsia="Times New Roman" w:hAnsi="Tenorite" w:cs="Times New Roman"/>
          <w:b/>
          <w:bCs/>
          <w:lang w:eastAsia="fr-FR"/>
        </w:rPr>
        <w:t xml:space="preserve"> par E. coli STEC</w:t>
      </w:r>
      <w:r w:rsidRPr="003E58C5">
        <w:rPr>
          <w:rFonts w:ascii="Tenorite" w:eastAsia="Times New Roman" w:hAnsi="Tenorite" w:cs="Times New Roman"/>
          <w:lang w:eastAsia="fr-FR"/>
        </w:rPr>
        <w:t xml:space="preserve"> aux stades de la production et de l'affinage - année 2025 (DGPE)</w:t>
      </w:r>
    </w:p>
    <w:p w14:paraId="1C025406" w14:textId="77777777" w:rsidR="002D18D8" w:rsidRPr="003E58C5" w:rsidRDefault="002D18D8" w:rsidP="002D18D8">
      <w:pPr>
        <w:shd w:val="clear" w:color="auto" w:fill="FFFFFF"/>
        <w:spacing w:after="0" w:line="240" w:lineRule="auto"/>
        <w:ind w:left="142"/>
        <w:jc w:val="both"/>
        <w:rPr>
          <w:rFonts w:ascii="Tenorite" w:eastAsia="Times New Roman" w:hAnsi="Tenorite" w:cs="Times New Roman"/>
          <w:lang w:eastAsia="fr-FR"/>
        </w:rPr>
      </w:pPr>
    </w:p>
    <w:p w14:paraId="5D125B66" w14:textId="4CF9EC25" w:rsidR="00582498" w:rsidRPr="003E58C5" w:rsidRDefault="00582498" w:rsidP="002D18D8">
      <w:pPr>
        <w:shd w:val="clear" w:color="auto" w:fill="FFFFFF"/>
        <w:spacing w:after="0" w:line="240" w:lineRule="auto"/>
        <w:ind w:left="142"/>
        <w:jc w:val="both"/>
        <w:rPr>
          <w:rFonts w:ascii="Tenorite" w:eastAsia="Times New Roman" w:hAnsi="Tenorite" w:cs="Times New Roman"/>
          <w:lang w:eastAsia="fr-FR"/>
        </w:rPr>
      </w:pPr>
      <w:r w:rsidRPr="003E58C5">
        <w:rPr>
          <w:rFonts w:ascii="Tenorite" w:eastAsia="Times New Roman" w:hAnsi="Tenorite" w:cs="Times New Roman"/>
          <w:b/>
          <w:bCs/>
          <w:lang w:eastAsia="fr-FR"/>
        </w:rPr>
        <w:t>Instruction technique </w:t>
      </w:r>
      <w:hyperlink r:id="rId9" w:history="1">
        <w:r w:rsidRPr="003E58C5">
          <w:rPr>
            <w:rFonts w:ascii="Tenorite" w:eastAsia="Times New Roman" w:hAnsi="Tenorite" w:cs="Times New Roman"/>
            <w:u w:val="single"/>
            <w:lang w:eastAsia="fr-FR"/>
          </w:rPr>
          <w:t>DGAL/SDEIGIR/2025-71</w:t>
        </w:r>
      </w:hyperlink>
      <w:r w:rsidRPr="003E58C5">
        <w:rPr>
          <w:rFonts w:ascii="Tenorite" w:eastAsia="Times New Roman" w:hAnsi="Tenorite" w:cs="Times New Roman"/>
          <w:lang w:eastAsia="fr-FR"/>
        </w:rPr>
        <w:t xml:space="preserve"> du 06-02-2025 - Dispositif PSPC - Modalités spécifiques pour la mise en </w:t>
      </w:r>
      <w:r w:rsidR="003E58C5" w:rsidRPr="003E58C5">
        <w:rPr>
          <w:rFonts w:ascii="Tenorite" w:eastAsia="Times New Roman" w:hAnsi="Tenorite" w:cs="Times New Roman"/>
          <w:lang w:eastAsia="fr-FR"/>
        </w:rPr>
        <w:t>œuvre</w:t>
      </w:r>
      <w:r w:rsidRPr="003E58C5">
        <w:rPr>
          <w:rFonts w:ascii="Tenorite" w:eastAsia="Times New Roman" w:hAnsi="Tenorite" w:cs="Times New Roman"/>
          <w:lang w:eastAsia="fr-FR"/>
        </w:rPr>
        <w:t xml:space="preserve"> de trois plans de surveillance concernant des </w:t>
      </w:r>
      <w:r w:rsidRPr="003E58C5">
        <w:rPr>
          <w:rFonts w:ascii="Tenorite" w:eastAsia="Times New Roman" w:hAnsi="Tenorite" w:cs="Times New Roman"/>
          <w:b/>
          <w:bCs/>
          <w:lang w:eastAsia="fr-FR"/>
        </w:rPr>
        <w:t>produits prêts à manger (PAM</w:t>
      </w:r>
      <w:r w:rsidRPr="003E58C5">
        <w:rPr>
          <w:rFonts w:ascii="Tenorite" w:eastAsia="Times New Roman" w:hAnsi="Tenorite" w:cs="Times New Roman"/>
          <w:lang w:eastAsia="fr-FR"/>
        </w:rPr>
        <w:t xml:space="preserve">) à la distribution : contamination par </w:t>
      </w:r>
      <w:r w:rsidRPr="003E58C5">
        <w:rPr>
          <w:rFonts w:ascii="Tenorite" w:eastAsia="Times New Roman" w:hAnsi="Tenorite" w:cs="Times New Roman"/>
          <w:b/>
          <w:bCs/>
          <w:lang w:eastAsia="fr-FR"/>
        </w:rPr>
        <w:t>Listeria monocytogenes</w:t>
      </w:r>
      <w:r w:rsidRPr="003E58C5">
        <w:rPr>
          <w:rFonts w:ascii="Tenorite" w:eastAsia="Times New Roman" w:hAnsi="Tenorite" w:cs="Times New Roman"/>
          <w:lang w:eastAsia="fr-FR"/>
        </w:rPr>
        <w:t xml:space="preserve"> des produits de la pêche, contamination par Listeria monocytogenes et </w:t>
      </w:r>
      <w:r w:rsidRPr="003E58C5">
        <w:rPr>
          <w:rFonts w:ascii="Tenorite" w:eastAsia="Times New Roman" w:hAnsi="Tenorite" w:cs="Times New Roman"/>
          <w:b/>
          <w:bCs/>
          <w:lang w:eastAsia="fr-FR"/>
        </w:rPr>
        <w:t>Salmonella</w:t>
      </w:r>
      <w:r w:rsidRPr="003E58C5">
        <w:rPr>
          <w:rFonts w:ascii="Tenorite" w:eastAsia="Times New Roman" w:hAnsi="Tenorite" w:cs="Times New Roman"/>
          <w:lang w:eastAsia="fr-FR"/>
        </w:rPr>
        <w:t xml:space="preserve"> des substituts végétaux de DAOA, contamination par Listeria monocytogenes et Salmonella d'autres produits végétaux PAM.(DGAL)</w:t>
      </w:r>
    </w:p>
    <w:p w14:paraId="55D84560" w14:textId="77777777" w:rsidR="002D18D8" w:rsidRPr="003E58C5" w:rsidRDefault="002D18D8" w:rsidP="002D18D8">
      <w:pPr>
        <w:shd w:val="clear" w:color="auto" w:fill="FFFFFF"/>
        <w:spacing w:after="0" w:line="240" w:lineRule="auto"/>
        <w:ind w:left="142"/>
        <w:jc w:val="both"/>
        <w:rPr>
          <w:rFonts w:ascii="Tenorite" w:eastAsia="Times New Roman" w:hAnsi="Tenorite" w:cs="Times New Roman"/>
          <w:lang w:eastAsia="fr-FR"/>
        </w:rPr>
      </w:pPr>
    </w:p>
    <w:p w14:paraId="24494F6B" w14:textId="77777777" w:rsidR="00582498" w:rsidRPr="003E58C5" w:rsidRDefault="00582498" w:rsidP="002D18D8">
      <w:pPr>
        <w:shd w:val="clear" w:color="auto" w:fill="FFFFFF"/>
        <w:spacing w:after="0" w:line="240" w:lineRule="auto"/>
        <w:ind w:left="142"/>
        <w:jc w:val="both"/>
        <w:rPr>
          <w:rFonts w:ascii="Tenorite" w:eastAsia="Times New Roman" w:hAnsi="Tenorite" w:cs="Times New Roman"/>
          <w:lang w:eastAsia="fr-FR"/>
        </w:rPr>
      </w:pPr>
      <w:r w:rsidRPr="003E58C5">
        <w:rPr>
          <w:rFonts w:ascii="Tenorite" w:eastAsia="Times New Roman" w:hAnsi="Tenorite" w:cs="Times New Roman"/>
          <w:b/>
          <w:bCs/>
          <w:lang w:eastAsia="fr-FR"/>
        </w:rPr>
        <w:t>Instruction technique </w:t>
      </w:r>
      <w:hyperlink r:id="rId10" w:history="1">
        <w:r w:rsidRPr="003E58C5">
          <w:rPr>
            <w:rFonts w:ascii="Tenorite" w:eastAsia="Times New Roman" w:hAnsi="Tenorite" w:cs="Times New Roman"/>
            <w:u w:val="single"/>
            <w:lang w:eastAsia="fr-FR"/>
          </w:rPr>
          <w:t>DGAL/SDEIGIR/2025-77</w:t>
        </w:r>
      </w:hyperlink>
      <w:r w:rsidRPr="003E58C5">
        <w:rPr>
          <w:rFonts w:ascii="Tenorite" w:eastAsia="Times New Roman" w:hAnsi="Tenorite" w:cs="Times New Roman"/>
          <w:lang w:eastAsia="fr-FR"/>
        </w:rPr>
        <w:t xml:space="preserve"> du 07-02-2025 - Dispositif PSPC - Plans de surveillance et plan exploratoire de la contamination de certaines denrées alimentaires d'origine animale et végétale par les </w:t>
      </w:r>
      <w:r w:rsidRPr="003E58C5">
        <w:rPr>
          <w:rFonts w:ascii="Tenorite" w:eastAsia="Times New Roman" w:hAnsi="Tenorite" w:cs="Times New Roman"/>
          <w:b/>
          <w:bCs/>
          <w:lang w:eastAsia="fr-FR"/>
        </w:rPr>
        <w:t>Escherichia coli producteurs de Shigatoxines</w:t>
      </w:r>
      <w:r w:rsidRPr="003E58C5">
        <w:rPr>
          <w:rFonts w:ascii="Tenorite" w:eastAsia="Times New Roman" w:hAnsi="Tenorite" w:cs="Times New Roman"/>
          <w:lang w:eastAsia="fr-FR"/>
        </w:rPr>
        <w:t xml:space="preserve"> - année 2025 (DGAL)</w:t>
      </w:r>
    </w:p>
    <w:p w14:paraId="0C04B389" w14:textId="77777777" w:rsidR="002D18D8" w:rsidRPr="003E58C5" w:rsidRDefault="002D18D8" w:rsidP="002D18D8">
      <w:pPr>
        <w:shd w:val="clear" w:color="auto" w:fill="FFFFFF"/>
        <w:spacing w:after="0" w:line="240" w:lineRule="auto"/>
        <w:ind w:left="142"/>
        <w:jc w:val="both"/>
        <w:rPr>
          <w:rFonts w:ascii="Tenorite" w:eastAsia="Times New Roman" w:hAnsi="Tenorite" w:cs="Times New Roman"/>
          <w:lang w:eastAsia="fr-FR"/>
        </w:rPr>
      </w:pPr>
    </w:p>
    <w:p w14:paraId="73B9B26A" w14:textId="77777777" w:rsidR="00582498" w:rsidRPr="003E58C5" w:rsidRDefault="00582498" w:rsidP="002D18D8">
      <w:pPr>
        <w:shd w:val="clear" w:color="auto" w:fill="FFFFFF"/>
        <w:spacing w:after="0" w:line="240" w:lineRule="auto"/>
        <w:ind w:left="142"/>
        <w:jc w:val="both"/>
        <w:rPr>
          <w:rFonts w:ascii="Tenorite" w:eastAsia="Times New Roman" w:hAnsi="Tenorite" w:cs="Times New Roman"/>
          <w:lang w:eastAsia="fr-FR"/>
        </w:rPr>
      </w:pPr>
      <w:r w:rsidRPr="003E58C5">
        <w:rPr>
          <w:rFonts w:ascii="Tenorite" w:eastAsia="Times New Roman" w:hAnsi="Tenorite" w:cs="Times New Roman"/>
          <w:b/>
          <w:bCs/>
          <w:lang w:eastAsia="fr-FR"/>
        </w:rPr>
        <w:t>Instruction technique </w:t>
      </w:r>
      <w:hyperlink r:id="rId11" w:history="1">
        <w:r w:rsidRPr="003E58C5">
          <w:rPr>
            <w:rFonts w:ascii="Tenorite" w:eastAsia="Times New Roman" w:hAnsi="Tenorite" w:cs="Times New Roman"/>
            <w:u w:val="single"/>
            <w:lang w:eastAsia="fr-FR"/>
          </w:rPr>
          <w:t>DGAL/SDEIGIR/2025-94</w:t>
        </w:r>
      </w:hyperlink>
      <w:r w:rsidRPr="003E58C5">
        <w:rPr>
          <w:rFonts w:ascii="Tenorite" w:eastAsia="Times New Roman" w:hAnsi="Tenorite" w:cs="Times New Roman"/>
          <w:lang w:eastAsia="fr-FR"/>
        </w:rPr>
        <w:t xml:space="preserve"> du 18-02-2025 - Dispositif PSPC - Plan de contrôle de certains </w:t>
      </w:r>
      <w:r w:rsidRPr="003E58C5">
        <w:rPr>
          <w:rFonts w:ascii="Tenorite" w:eastAsia="Times New Roman" w:hAnsi="Tenorite" w:cs="Times New Roman"/>
          <w:b/>
          <w:bCs/>
          <w:lang w:eastAsia="fr-FR"/>
        </w:rPr>
        <w:t>contaminants chimiques</w:t>
      </w:r>
      <w:r w:rsidRPr="003E58C5">
        <w:rPr>
          <w:rFonts w:ascii="Tenorite" w:eastAsia="Times New Roman" w:hAnsi="Tenorite" w:cs="Times New Roman"/>
          <w:lang w:eastAsia="fr-FR"/>
        </w:rPr>
        <w:t xml:space="preserve"> dans les denrées alimentaires d'origine animale et végétale - année 2025. (DGAL)</w:t>
      </w:r>
    </w:p>
    <w:p w14:paraId="0ADF5E3D" w14:textId="77777777" w:rsidR="00F74CE4" w:rsidRPr="003E58C5" w:rsidRDefault="00F74CE4" w:rsidP="002D18D8">
      <w:pPr>
        <w:spacing w:after="0" w:line="240" w:lineRule="auto"/>
        <w:ind w:left="142"/>
        <w:rPr>
          <w:rFonts w:ascii="Tenorite" w:hAnsi="Tenorite"/>
          <w:color w:val="C45911" w:themeColor="accent2" w:themeShade="BF"/>
        </w:rPr>
      </w:pPr>
    </w:p>
    <w:p w14:paraId="3570CAB8" w14:textId="77777777" w:rsidR="002B7CB6" w:rsidRPr="002D18D8" w:rsidRDefault="002B7CB6" w:rsidP="002D18D8">
      <w:pPr>
        <w:shd w:val="clear" w:color="auto" w:fill="D9D9D9" w:themeFill="background1" w:themeFillShade="D9"/>
        <w:spacing w:after="0" w:line="240" w:lineRule="auto"/>
        <w:ind w:left="142"/>
        <w:rPr>
          <w:rFonts w:ascii="Tenorite" w:hAnsi="Tenorite"/>
          <w:b/>
          <w:color w:val="833C0B" w:themeColor="accent2" w:themeShade="80"/>
          <w:sz w:val="24"/>
        </w:rPr>
      </w:pPr>
      <w:r w:rsidRPr="002D18D8">
        <w:rPr>
          <w:rFonts w:ascii="Tenorite" w:hAnsi="Tenorite"/>
          <w:b/>
          <w:color w:val="833C0B" w:themeColor="accent2" w:themeShade="80"/>
          <w:sz w:val="24"/>
        </w:rPr>
        <w:t>BIOCIDES – PRODUITS DE NETTOYAGE</w:t>
      </w:r>
    </w:p>
    <w:p w14:paraId="047EE70F" w14:textId="07D90581" w:rsidR="00120F64" w:rsidRDefault="00666EAA" w:rsidP="003E58C5">
      <w:pPr>
        <w:shd w:val="clear" w:color="auto" w:fill="FFFFFF"/>
        <w:spacing w:after="0" w:line="240" w:lineRule="auto"/>
        <w:ind w:left="142"/>
        <w:jc w:val="both"/>
        <w:rPr>
          <w:rFonts w:ascii="Tenorite" w:hAnsi="Tenorite" w:cstheme="minorHAnsi"/>
        </w:rPr>
      </w:pPr>
      <w:hyperlink r:id="rId12" w:history="1">
        <w:r w:rsidRPr="003E58C5">
          <w:rPr>
            <w:rStyle w:val="Lienhypertexte"/>
            <w:rFonts w:ascii="Tenorite" w:hAnsi="Tenorite" w:cstheme="minorHAnsi"/>
            <w:color w:val="auto"/>
          </w:rPr>
          <w:t>Substances dangereuses</w:t>
        </w:r>
      </w:hyperlink>
      <w:r w:rsidRPr="003E58C5">
        <w:rPr>
          <w:rFonts w:ascii="Tenorite" w:hAnsi="Tenorite" w:cstheme="minorHAnsi"/>
        </w:rPr>
        <w:t xml:space="preserve"> — liste des décisions d’autorisation prises par les états de l’AELE membres de l’</w:t>
      </w:r>
      <w:proofErr w:type="spellStart"/>
      <w:r w:rsidRPr="003E58C5">
        <w:rPr>
          <w:rFonts w:ascii="Tenorite" w:hAnsi="Tenorite" w:cstheme="minorHAnsi"/>
        </w:rPr>
        <w:t>eee</w:t>
      </w:r>
      <w:proofErr w:type="spellEnd"/>
      <w:r w:rsidRPr="003E58C5">
        <w:rPr>
          <w:rFonts w:ascii="Tenorite" w:hAnsi="Tenorite" w:cstheme="minorHAnsi"/>
        </w:rPr>
        <w:t xml:space="preserve"> conformément à l’article 64, paragraphe 8, du règlement (ce) no 1907/2006 (</w:t>
      </w:r>
      <w:proofErr w:type="spellStart"/>
      <w:r w:rsidRPr="003E58C5">
        <w:rPr>
          <w:rFonts w:ascii="Tenorite" w:hAnsi="Tenorite" w:cstheme="minorHAnsi"/>
        </w:rPr>
        <w:t>reach</w:t>
      </w:r>
      <w:proofErr w:type="spellEnd"/>
      <w:r w:rsidRPr="003E58C5">
        <w:rPr>
          <w:rFonts w:ascii="Tenorite" w:hAnsi="Tenorite" w:cstheme="minorHAnsi"/>
        </w:rPr>
        <w:t>) au premier semestre de 2024 (joue 06/02/2025)</w:t>
      </w:r>
    </w:p>
    <w:p w14:paraId="1E7B2C34" w14:textId="77777777" w:rsidR="003E58C5" w:rsidRPr="003E58C5" w:rsidRDefault="003E58C5" w:rsidP="003E58C5">
      <w:pPr>
        <w:shd w:val="clear" w:color="auto" w:fill="FFFFFF"/>
        <w:spacing w:after="0" w:line="240" w:lineRule="auto"/>
        <w:ind w:left="142"/>
        <w:jc w:val="both"/>
        <w:rPr>
          <w:rFonts w:ascii="Tenorite" w:hAnsi="Tenorite" w:cstheme="minorHAnsi"/>
        </w:rPr>
      </w:pPr>
    </w:p>
    <w:p w14:paraId="1372CB59" w14:textId="5316FAE2" w:rsidR="00120F64" w:rsidRDefault="00666EAA" w:rsidP="003E58C5">
      <w:pPr>
        <w:shd w:val="clear" w:color="auto" w:fill="FFFFFF"/>
        <w:spacing w:after="0" w:line="240" w:lineRule="auto"/>
        <w:ind w:left="142"/>
        <w:jc w:val="both"/>
        <w:rPr>
          <w:rFonts w:ascii="Tenorite" w:hAnsi="Tenorite" w:cstheme="minorHAnsi"/>
        </w:rPr>
      </w:pPr>
      <w:hyperlink r:id="rId13" w:history="1">
        <w:r w:rsidRPr="003E58C5">
          <w:rPr>
            <w:rStyle w:val="Lienhypertexte"/>
            <w:rFonts w:ascii="Tenorite" w:hAnsi="Tenorite" w:cstheme="minorHAnsi"/>
            <w:color w:val="auto"/>
          </w:rPr>
          <w:t>Substances dangereuses</w:t>
        </w:r>
      </w:hyperlink>
      <w:r w:rsidRPr="003E58C5">
        <w:rPr>
          <w:rFonts w:ascii="Tenorite" w:hAnsi="Tenorite" w:cstheme="minorHAnsi"/>
        </w:rPr>
        <w:t xml:space="preserve"> — liste des décisions d’autorisation prises par les états de l’AELE membres de l’</w:t>
      </w:r>
      <w:proofErr w:type="spellStart"/>
      <w:r w:rsidRPr="003E58C5">
        <w:rPr>
          <w:rFonts w:ascii="Tenorite" w:hAnsi="Tenorite" w:cstheme="minorHAnsi"/>
        </w:rPr>
        <w:t>eee</w:t>
      </w:r>
      <w:proofErr w:type="spellEnd"/>
      <w:r w:rsidRPr="003E58C5">
        <w:rPr>
          <w:rFonts w:ascii="Tenorite" w:hAnsi="Tenorite" w:cstheme="minorHAnsi"/>
        </w:rPr>
        <w:t xml:space="preserve"> conformément à l’article 44, paragraphe 5, du règlement (</w:t>
      </w:r>
      <w:proofErr w:type="spellStart"/>
      <w:r w:rsidRPr="003E58C5">
        <w:rPr>
          <w:rFonts w:ascii="Tenorite" w:hAnsi="Tenorite" w:cstheme="minorHAnsi"/>
        </w:rPr>
        <w:t>ue</w:t>
      </w:r>
      <w:proofErr w:type="spellEnd"/>
      <w:r w:rsidRPr="003E58C5">
        <w:rPr>
          <w:rFonts w:ascii="Tenorite" w:hAnsi="Tenorite" w:cstheme="minorHAnsi"/>
        </w:rPr>
        <w:t>) no 528/2012 au premier semestre de 2024 (joue 06/02/2025)</w:t>
      </w:r>
    </w:p>
    <w:p w14:paraId="31213AEA" w14:textId="77777777" w:rsidR="003E58C5" w:rsidRPr="003E58C5" w:rsidRDefault="003E58C5" w:rsidP="003E58C5">
      <w:pPr>
        <w:shd w:val="clear" w:color="auto" w:fill="FFFFFF"/>
        <w:spacing w:after="0" w:line="240" w:lineRule="auto"/>
        <w:ind w:left="142"/>
        <w:jc w:val="both"/>
        <w:rPr>
          <w:rFonts w:ascii="Tenorite" w:hAnsi="Tenorite" w:cstheme="minorHAnsi"/>
        </w:rPr>
      </w:pPr>
    </w:p>
    <w:p w14:paraId="35EFBED8" w14:textId="77777777" w:rsidR="00120F64" w:rsidRDefault="00120F64" w:rsidP="003E58C5">
      <w:pPr>
        <w:shd w:val="clear" w:color="auto" w:fill="FFFFFF"/>
        <w:spacing w:after="0" w:line="240" w:lineRule="auto"/>
        <w:ind w:left="142"/>
        <w:jc w:val="both"/>
        <w:rPr>
          <w:rFonts w:ascii="Tenorite" w:hAnsi="Tenorite" w:cstheme="minorHAnsi"/>
        </w:rPr>
      </w:pPr>
      <w:hyperlink r:id="rId14" w:history="1">
        <w:r w:rsidRPr="003E58C5">
          <w:rPr>
            <w:rStyle w:val="Lienhypertexte"/>
            <w:rFonts w:ascii="Tenorite" w:hAnsi="Tenorite" w:cstheme="minorHAnsi"/>
            <w:color w:val="auto"/>
          </w:rPr>
          <w:t>Règlement</w:t>
        </w:r>
      </w:hyperlink>
      <w:r w:rsidRPr="003E58C5">
        <w:rPr>
          <w:rFonts w:ascii="Tenorite" w:hAnsi="Tenorite" w:cstheme="minorHAnsi"/>
        </w:rPr>
        <w:t xml:space="preserve"> d’exécution (UE) 2025/221 de la Commission du 6 février 2025 accordant une autorisation de l’Union pour le produit biocide unique dénommé </w:t>
      </w:r>
      <w:proofErr w:type="spellStart"/>
      <w:r w:rsidRPr="003E58C5">
        <w:rPr>
          <w:rFonts w:ascii="Tenorite" w:hAnsi="Tenorite" w:cstheme="minorHAnsi"/>
        </w:rPr>
        <w:t>Neporex</w:t>
      </w:r>
      <w:proofErr w:type="spellEnd"/>
      <w:r w:rsidRPr="003E58C5">
        <w:rPr>
          <w:rFonts w:ascii="Tenorite" w:hAnsi="Tenorite" w:cstheme="minorHAnsi"/>
        </w:rPr>
        <w:t xml:space="preserve"> 2SG conformément au règlement (UE) no 528/2012 du Parlement européen et du Conseil (JOUE 07/02/2025)</w:t>
      </w:r>
    </w:p>
    <w:p w14:paraId="0E9F9C16" w14:textId="77777777" w:rsidR="00E92909" w:rsidRDefault="00E92909" w:rsidP="003E58C5">
      <w:pPr>
        <w:shd w:val="clear" w:color="auto" w:fill="FFFFFF"/>
        <w:spacing w:after="0" w:line="240" w:lineRule="auto"/>
        <w:ind w:left="142"/>
        <w:jc w:val="both"/>
        <w:rPr>
          <w:rFonts w:ascii="Tenorite" w:hAnsi="Tenorite" w:cstheme="minorHAnsi"/>
        </w:rPr>
      </w:pPr>
    </w:p>
    <w:p w14:paraId="49793012" w14:textId="77777777" w:rsidR="00120F64" w:rsidRDefault="00120F64" w:rsidP="003E58C5">
      <w:pPr>
        <w:shd w:val="clear" w:color="auto" w:fill="FFFFFF"/>
        <w:spacing w:after="0" w:line="240" w:lineRule="auto"/>
        <w:ind w:left="142"/>
        <w:jc w:val="both"/>
        <w:rPr>
          <w:rFonts w:ascii="Tenorite" w:hAnsi="Tenorite" w:cstheme="minorHAnsi"/>
        </w:rPr>
      </w:pPr>
      <w:hyperlink r:id="rId15" w:history="1">
        <w:r w:rsidRPr="003E58C5">
          <w:rPr>
            <w:rStyle w:val="Lienhypertexte"/>
            <w:rFonts w:ascii="Tenorite" w:hAnsi="Tenorite" w:cstheme="minorHAnsi"/>
            <w:color w:val="auto"/>
          </w:rPr>
          <w:t>Règlement</w:t>
        </w:r>
      </w:hyperlink>
      <w:r w:rsidRPr="003E58C5">
        <w:rPr>
          <w:rFonts w:ascii="Tenorite" w:hAnsi="Tenorite" w:cstheme="minorHAnsi"/>
        </w:rPr>
        <w:t xml:space="preserve"> d’exécution (UE) 2025/265 de la Commission du 7 février 2025 modifiant le règlement d’exécution (UE) 2020/704 en ce qui concerne des modifications administratives de l’autorisation de l’Union pour la famille de produits biocides dénommée INSECTICIDES FOR HOME USE (JOUE 10/02/2025)</w:t>
      </w:r>
    </w:p>
    <w:p w14:paraId="42920CF2" w14:textId="77777777" w:rsidR="003E58C5" w:rsidRPr="003E58C5" w:rsidRDefault="003E58C5" w:rsidP="003E58C5">
      <w:pPr>
        <w:shd w:val="clear" w:color="auto" w:fill="FFFFFF"/>
        <w:spacing w:after="0" w:line="240" w:lineRule="auto"/>
        <w:ind w:left="142"/>
        <w:jc w:val="both"/>
        <w:rPr>
          <w:rFonts w:ascii="Tenorite" w:hAnsi="Tenorite" w:cstheme="minorHAnsi"/>
        </w:rPr>
      </w:pPr>
    </w:p>
    <w:p w14:paraId="493606F1" w14:textId="77777777" w:rsidR="00120F64" w:rsidRDefault="00120F64" w:rsidP="003E58C5">
      <w:pPr>
        <w:shd w:val="clear" w:color="auto" w:fill="FFFFFF"/>
        <w:spacing w:after="0" w:line="240" w:lineRule="auto"/>
        <w:ind w:left="142"/>
        <w:jc w:val="both"/>
        <w:rPr>
          <w:rFonts w:ascii="Tenorite" w:hAnsi="Tenorite" w:cstheme="minorHAnsi"/>
        </w:rPr>
      </w:pPr>
      <w:hyperlink r:id="rId16" w:history="1">
        <w:r w:rsidRPr="003E58C5">
          <w:rPr>
            <w:rStyle w:val="Lienhypertexte"/>
            <w:rFonts w:ascii="Tenorite" w:hAnsi="Tenorite" w:cstheme="minorHAnsi"/>
            <w:color w:val="auto"/>
          </w:rPr>
          <w:t>Règlement</w:t>
        </w:r>
      </w:hyperlink>
      <w:r w:rsidRPr="003E58C5">
        <w:rPr>
          <w:rFonts w:ascii="Tenorite" w:hAnsi="Tenorite" w:cstheme="minorHAnsi"/>
        </w:rPr>
        <w:t xml:space="preserve"> d’exécution (UE) 2025/223 de la Commission du 6 février 2025 modifiant le règlement d’exécution (UE) 2022/1423 en ce qui concerne les modifications mineures apportées à l’autorisation de l’Union pour la famille de produits biocides dénommée </w:t>
      </w:r>
      <w:proofErr w:type="spellStart"/>
      <w:r w:rsidRPr="003E58C5">
        <w:rPr>
          <w:rFonts w:ascii="Tenorite" w:hAnsi="Tenorite" w:cstheme="minorHAnsi"/>
        </w:rPr>
        <w:t>Hydrogen</w:t>
      </w:r>
      <w:proofErr w:type="spellEnd"/>
      <w:r w:rsidRPr="003E58C5">
        <w:rPr>
          <w:rFonts w:ascii="Tenorite" w:hAnsi="Tenorite" w:cstheme="minorHAnsi"/>
        </w:rPr>
        <w:t xml:space="preserve"> </w:t>
      </w:r>
      <w:proofErr w:type="spellStart"/>
      <w:r w:rsidRPr="003E58C5">
        <w:rPr>
          <w:rFonts w:ascii="Tenorite" w:hAnsi="Tenorite" w:cstheme="minorHAnsi"/>
        </w:rPr>
        <w:t>Peroxide</w:t>
      </w:r>
      <w:proofErr w:type="spellEnd"/>
      <w:r w:rsidRPr="003E58C5">
        <w:rPr>
          <w:rFonts w:ascii="Tenorite" w:hAnsi="Tenorite" w:cstheme="minorHAnsi"/>
        </w:rPr>
        <w:t xml:space="preserve"> Family 1 (JOUE 12/02/2025)</w:t>
      </w:r>
    </w:p>
    <w:p w14:paraId="51863668" w14:textId="77777777" w:rsidR="003E58C5" w:rsidRPr="003E58C5" w:rsidRDefault="003E58C5" w:rsidP="003E58C5">
      <w:pPr>
        <w:shd w:val="clear" w:color="auto" w:fill="FFFFFF"/>
        <w:spacing w:after="0" w:line="240" w:lineRule="auto"/>
        <w:ind w:left="142"/>
        <w:jc w:val="both"/>
        <w:rPr>
          <w:rFonts w:ascii="Tenorite" w:hAnsi="Tenorite" w:cstheme="minorHAnsi"/>
        </w:rPr>
      </w:pPr>
    </w:p>
    <w:p w14:paraId="38B534AD" w14:textId="77777777" w:rsidR="00120F64" w:rsidRDefault="00120F64" w:rsidP="003E58C5">
      <w:pPr>
        <w:shd w:val="clear" w:color="auto" w:fill="FFFFFF"/>
        <w:spacing w:after="0" w:line="240" w:lineRule="auto"/>
        <w:ind w:left="142"/>
        <w:jc w:val="both"/>
        <w:rPr>
          <w:rFonts w:ascii="Tenorite" w:hAnsi="Tenorite" w:cstheme="minorHAnsi"/>
        </w:rPr>
      </w:pPr>
      <w:hyperlink r:id="rId17" w:history="1">
        <w:r w:rsidRPr="003E58C5">
          <w:rPr>
            <w:rStyle w:val="Lienhypertexte"/>
            <w:rFonts w:ascii="Tenorite" w:hAnsi="Tenorite" w:cstheme="minorHAnsi"/>
            <w:color w:val="auto"/>
          </w:rPr>
          <w:t>Règlement</w:t>
        </w:r>
      </w:hyperlink>
      <w:r w:rsidRPr="003E58C5">
        <w:rPr>
          <w:rFonts w:ascii="Tenorite" w:hAnsi="Tenorite" w:cstheme="minorHAnsi"/>
        </w:rPr>
        <w:t xml:space="preserve"> d’exécution (UE) 2025/285 de la Commission du 12 février 2025 modifiant le règlement d’exécution (UE) 2023/1758 en ce qui concerne des modifications administratives de l’autorisation de l’Union pour la famille de produits biocides dénommée SALVECO SALVESAFE PRODUCTS (JOUE 13/02/2025)</w:t>
      </w:r>
    </w:p>
    <w:p w14:paraId="0F315E70" w14:textId="77777777" w:rsidR="003E58C5" w:rsidRPr="003E58C5" w:rsidRDefault="003E58C5" w:rsidP="003E58C5">
      <w:pPr>
        <w:shd w:val="clear" w:color="auto" w:fill="FFFFFF"/>
        <w:spacing w:after="0" w:line="240" w:lineRule="auto"/>
        <w:ind w:left="142"/>
        <w:jc w:val="both"/>
        <w:rPr>
          <w:rFonts w:ascii="Tenorite" w:hAnsi="Tenorite"/>
        </w:rPr>
      </w:pPr>
    </w:p>
    <w:p w14:paraId="1AB2A49F" w14:textId="77777777" w:rsidR="00120F64" w:rsidRDefault="00120F64" w:rsidP="003E58C5">
      <w:pPr>
        <w:shd w:val="clear" w:color="auto" w:fill="FFFFFF"/>
        <w:spacing w:after="0" w:line="240" w:lineRule="auto"/>
        <w:ind w:left="142"/>
        <w:jc w:val="both"/>
        <w:rPr>
          <w:rFonts w:ascii="Tenorite" w:hAnsi="Tenorite"/>
        </w:rPr>
      </w:pPr>
      <w:hyperlink r:id="rId18" w:history="1">
        <w:r w:rsidRPr="003E58C5">
          <w:rPr>
            <w:rStyle w:val="Lienhypertexte"/>
            <w:rFonts w:ascii="Tenorite" w:hAnsi="Tenorite"/>
            <w:color w:val="auto"/>
          </w:rPr>
          <w:t>Décision</w:t>
        </w:r>
      </w:hyperlink>
      <w:r w:rsidRPr="003E58C5">
        <w:rPr>
          <w:rFonts w:ascii="Tenorite" w:hAnsi="Tenorite"/>
        </w:rPr>
        <w:t xml:space="preserve"> d’exécution (UE) 2025/349 de la Commission du 21 février 2025 reportant la date d’expiration de l’approbation du </w:t>
      </w:r>
      <w:proofErr w:type="spellStart"/>
      <w:r w:rsidRPr="003E58C5">
        <w:rPr>
          <w:rFonts w:ascii="Tenorite" w:hAnsi="Tenorite"/>
        </w:rPr>
        <w:t>spinosad</w:t>
      </w:r>
      <w:proofErr w:type="spellEnd"/>
      <w:r w:rsidRPr="003E58C5">
        <w:rPr>
          <w:rFonts w:ascii="Tenorite" w:hAnsi="Tenorite"/>
        </w:rPr>
        <w:t xml:space="preserve"> en vue de son utilisation dans les produits biocides relevant du type de produits 18, conformément au règlement (UE) no 528/2012 du Parlement européen et du Conseil (JOUE 24/02/2025)</w:t>
      </w:r>
    </w:p>
    <w:p w14:paraId="5748B7B4" w14:textId="77777777" w:rsidR="003E58C5" w:rsidRPr="003E58C5" w:rsidRDefault="003E58C5" w:rsidP="003E58C5">
      <w:pPr>
        <w:shd w:val="clear" w:color="auto" w:fill="FFFFFF"/>
        <w:spacing w:after="0" w:line="240" w:lineRule="auto"/>
        <w:ind w:left="142"/>
        <w:jc w:val="both"/>
        <w:rPr>
          <w:rFonts w:ascii="Tenorite" w:hAnsi="Tenorite"/>
        </w:rPr>
      </w:pPr>
    </w:p>
    <w:p w14:paraId="52621E15" w14:textId="77777777" w:rsidR="00120F64" w:rsidRDefault="00120F64" w:rsidP="003E58C5">
      <w:pPr>
        <w:shd w:val="clear" w:color="auto" w:fill="FFFFFF"/>
        <w:spacing w:after="0" w:line="240" w:lineRule="auto"/>
        <w:ind w:left="142"/>
        <w:jc w:val="both"/>
        <w:rPr>
          <w:rFonts w:ascii="Tenorite" w:hAnsi="Tenorite"/>
        </w:rPr>
      </w:pPr>
      <w:hyperlink r:id="rId19" w:history="1">
        <w:r w:rsidRPr="003E58C5">
          <w:rPr>
            <w:rStyle w:val="Lienhypertexte"/>
            <w:rFonts w:ascii="Tenorite" w:hAnsi="Tenorite"/>
            <w:color w:val="auto"/>
          </w:rPr>
          <w:t>Décision</w:t>
        </w:r>
      </w:hyperlink>
      <w:r w:rsidRPr="003E58C5">
        <w:rPr>
          <w:rFonts w:ascii="Tenorite" w:hAnsi="Tenorite"/>
        </w:rPr>
        <w:t xml:space="preserve"> d’exécution (UE) 2025/357 de la Commission du 21 février 2025 n’approuvant pas la 5-chloro-2-méthyl-2H-isothiazol-3-one (CIT) en tant que substance active destinée à être utilisée dans les produits biocides du type 6 conformément au règlement (UE) no 528/2012 du Parlement européen et du Conseil (JOUE 24/02/2025)</w:t>
      </w:r>
    </w:p>
    <w:p w14:paraId="25B55535" w14:textId="77777777" w:rsidR="003E58C5" w:rsidRPr="003E58C5" w:rsidRDefault="003E58C5" w:rsidP="003E58C5">
      <w:pPr>
        <w:shd w:val="clear" w:color="auto" w:fill="FFFFFF"/>
        <w:spacing w:after="0" w:line="240" w:lineRule="auto"/>
        <w:ind w:left="142"/>
        <w:jc w:val="both"/>
        <w:rPr>
          <w:rFonts w:ascii="Tenorite" w:hAnsi="Tenorite"/>
        </w:rPr>
      </w:pPr>
    </w:p>
    <w:p w14:paraId="1928FFEC" w14:textId="77777777" w:rsidR="00120F64" w:rsidRDefault="00120F64" w:rsidP="003E58C5">
      <w:pPr>
        <w:shd w:val="clear" w:color="auto" w:fill="FFFFFF"/>
        <w:spacing w:after="0" w:line="240" w:lineRule="auto"/>
        <w:ind w:left="142"/>
        <w:jc w:val="both"/>
        <w:rPr>
          <w:rFonts w:ascii="Tenorite" w:hAnsi="Tenorite"/>
        </w:rPr>
      </w:pPr>
      <w:hyperlink r:id="rId20" w:history="1">
        <w:r w:rsidRPr="003E58C5">
          <w:rPr>
            <w:rStyle w:val="Lienhypertexte"/>
            <w:rFonts w:ascii="Tenorite" w:hAnsi="Tenorite"/>
            <w:color w:val="auto"/>
          </w:rPr>
          <w:t>Décision</w:t>
        </w:r>
      </w:hyperlink>
      <w:r w:rsidRPr="003E58C5">
        <w:rPr>
          <w:rFonts w:ascii="Tenorite" w:hAnsi="Tenorite"/>
        </w:rPr>
        <w:t xml:space="preserve"> d’exécution (UE) 2025/362 de la Commission du 21 février 2025 reportant la date d’expiration de l’approbation de la cyperméthrine en vue de son utilisation dans les produits biocides relevant du type de produits 8, conformément au règlement (UE) no 528/2012 du Parlement européen et du Conseil (JOUE 24/02/2025)</w:t>
      </w:r>
    </w:p>
    <w:p w14:paraId="692F5C72" w14:textId="77777777" w:rsidR="003E58C5" w:rsidRPr="003E58C5" w:rsidRDefault="003E58C5" w:rsidP="003E58C5">
      <w:pPr>
        <w:shd w:val="clear" w:color="auto" w:fill="FFFFFF"/>
        <w:spacing w:after="0" w:line="240" w:lineRule="auto"/>
        <w:ind w:left="142"/>
        <w:jc w:val="both"/>
        <w:rPr>
          <w:rFonts w:ascii="Tenorite" w:hAnsi="Tenorite"/>
        </w:rPr>
      </w:pPr>
    </w:p>
    <w:p w14:paraId="54EEB09D" w14:textId="77777777" w:rsidR="00120F64" w:rsidRPr="003E58C5" w:rsidRDefault="00120F64" w:rsidP="003E58C5">
      <w:pPr>
        <w:shd w:val="clear" w:color="auto" w:fill="FFFFFF"/>
        <w:spacing w:after="0" w:line="240" w:lineRule="auto"/>
        <w:ind w:left="142"/>
        <w:jc w:val="both"/>
        <w:rPr>
          <w:rFonts w:ascii="Tenorite" w:hAnsi="Tenorite"/>
        </w:rPr>
      </w:pPr>
      <w:hyperlink r:id="rId21" w:history="1">
        <w:r w:rsidRPr="003E58C5">
          <w:rPr>
            <w:rStyle w:val="Lienhypertexte"/>
            <w:rFonts w:ascii="Tenorite" w:hAnsi="Tenorite"/>
            <w:color w:val="auto"/>
          </w:rPr>
          <w:t>Décision</w:t>
        </w:r>
      </w:hyperlink>
      <w:r w:rsidRPr="003E58C5">
        <w:rPr>
          <w:rFonts w:ascii="Tenorite" w:hAnsi="Tenorite"/>
        </w:rPr>
        <w:t xml:space="preserve"> d’exécution (UE) 2025/360 de la Commission du 21 février 2025 reportant la date d’expiration de l’approbation de l’acide </w:t>
      </w:r>
      <w:proofErr w:type="spellStart"/>
      <w:r w:rsidRPr="003E58C5">
        <w:rPr>
          <w:rFonts w:ascii="Tenorite" w:hAnsi="Tenorite"/>
        </w:rPr>
        <w:t>bromoacétique</w:t>
      </w:r>
      <w:proofErr w:type="spellEnd"/>
      <w:r w:rsidRPr="003E58C5">
        <w:rPr>
          <w:rFonts w:ascii="Tenorite" w:hAnsi="Tenorite"/>
        </w:rPr>
        <w:t xml:space="preserve"> en vue de son utilisation dans des produits biocides relevant du type de produits 4, conformément au règlement (UE) no 528/2012 du Parlement européen et du Conseil (JOUE 25/02/2025)</w:t>
      </w:r>
    </w:p>
    <w:p w14:paraId="431DB834" w14:textId="77777777" w:rsidR="002B7CB6" w:rsidRPr="002D18D8" w:rsidRDefault="002B7CB6" w:rsidP="002D18D8">
      <w:pPr>
        <w:spacing w:after="0" w:line="240" w:lineRule="auto"/>
        <w:ind w:left="142"/>
        <w:jc w:val="both"/>
        <w:rPr>
          <w:rFonts w:ascii="Tenorite" w:eastAsia="MS Gothic" w:hAnsi="Tenorite" w:cs="Segoe UI Symbol"/>
          <w:b/>
          <w:sz w:val="20"/>
          <w:szCs w:val="20"/>
        </w:rPr>
      </w:pPr>
    </w:p>
    <w:p w14:paraId="6630880B" w14:textId="670186DB" w:rsidR="002B7CB6" w:rsidRPr="002D18D8" w:rsidRDefault="00767DBA" w:rsidP="002D18D8">
      <w:pPr>
        <w:shd w:val="clear" w:color="auto" w:fill="D9D9D9" w:themeFill="background1" w:themeFillShade="D9"/>
        <w:spacing w:after="0" w:line="240" w:lineRule="auto"/>
        <w:ind w:left="142"/>
        <w:rPr>
          <w:rFonts w:ascii="Tenorite" w:hAnsi="Tenorite"/>
          <w:b/>
          <w:color w:val="833C0B" w:themeColor="accent2" w:themeShade="80"/>
          <w:sz w:val="24"/>
        </w:rPr>
      </w:pPr>
      <w:r w:rsidRPr="002D18D8">
        <w:rPr>
          <w:rFonts w:ascii="Tenorite" w:hAnsi="Tenorite"/>
          <w:b/>
          <w:color w:val="833C0B" w:themeColor="accent2" w:themeShade="80"/>
          <w:sz w:val="24"/>
        </w:rPr>
        <w:t>SUBSTANCES CHIMIQUES ET CONTAMINANTS</w:t>
      </w:r>
    </w:p>
    <w:p w14:paraId="75E61D11" w14:textId="22C4C1AD" w:rsidR="00767DBA" w:rsidRPr="003E58C5" w:rsidRDefault="00767DBA" w:rsidP="002D18D8">
      <w:pPr>
        <w:spacing w:after="0" w:line="240" w:lineRule="auto"/>
        <w:ind w:left="142"/>
        <w:rPr>
          <w:rFonts w:ascii="Tenorite" w:hAnsi="Tenorite"/>
          <w:color w:val="C45911" w:themeColor="accent2" w:themeShade="BF"/>
        </w:rPr>
      </w:pPr>
      <w:r w:rsidRPr="003E58C5">
        <w:rPr>
          <w:rFonts w:ascii="Tenorite" w:hAnsi="Tenorite"/>
          <w:color w:val="C45911" w:themeColor="accent2" w:themeShade="BF"/>
        </w:rPr>
        <w:t>Acrylamide</w:t>
      </w:r>
      <w:r w:rsidR="00666EAA">
        <w:rPr>
          <w:rFonts w:ascii="Tenorite" w:hAnsi="Tenorite"/>
          <w:color w:val="C45911" w:themeColor="accent2" w:themeShade="BF"/>
        </w:rPr>
        <w:t xml:space="preserve"> /</w:t>
      </w:r>
    </w:p>
    <w:p w14:paraId="078DE143" w14:textId="42C5A038" w:rsidR="00767DBA" w:rsidRPr="003E58C5" w:rsidRDefault="00767DBA" w:rsidP="002D18D8">
      <w:pPr>
        <w:spacing w:after="0" w:line="240" w:lineRule="auto"/>
        <w:ind w:left="142"/>
        <w:rPr>
          <w:rFonts w:ascii="Tenorite" w:hAnsi="Tenorite"/>
          <w:color w:val="C45911" w:themeColor="accent2" w:themeShade="BF"/>
        </w:rPr>
      </w:pPr>
      <w:r w:rsidRPr="003E58C5">
        <w:rPr>
          <w:rFonts w:ascii="Tenorite" w:hAnsi="Tenorite"/>
          <w:color w:val="C45911" w:themeColor="accent2" w:themeShade="BF"/>
        </w:rPr>
        <w:t>BPA</w:t>
      </w:r>
      <w:r w:rsidR="00666EAA">
        <w:rPr>
          <w:rFonts w:ascii="Tenorite" w:hAnsi="Tenorite"/>
          <w:color w:val="C45911" w:themeColor="accent2" w:themeShade="BF"/>
        </w:rPr>
        <w:t xml:space="preserve"> /</w:t>
      </w:r>
    </w:p>
    <w:p w14:paraId="200A0031" w14:textId="4E5276D9" w:rsidR="002B7CB6" w:rsidRPr="003E58C5" w:rsidRDefault="002B7CB6" w:rsidP="002D18D8">
      <w:pPr>
        <w:spacing w:after="0" w:line="240" w:lineRule="auto"/>
        <w:ind w:left="142"/>
        <w:rPr>
          <w:rFonts w:ascii="Tenorite" w:hAnsi="Tenorite"/>
          <w:color w:val="C45911" w:themeColor="accent2" w:themeShade="BF"/>
        </w:rPr>
      </w:pPr>
      <w:r w:rsidRPr="003E58C5">
        <w:rPr>
          <w:rFonts w:ascii="Tenorite" w:hAnsi="Tenorite"/>
          <w:color w:val="C45911" w:themeColor="accent2" w:themeShade="BF"/>
        </w:rPr>
        <w:t>Dioxine, PCB</w:t>
      </w:r>
      <w:r w:rsidR="00666EAA">
        <w:rPr>
          <w:rFonts w:ascii="Tenorite" w:hAnsi="Tenorite"/>
          <w:color w:val="C45911" w:themeColor="accent2" w:themeShade="BF"/>
        </w:rPr>
        <w:t xml:space="preserve"> /</w:t>
      </w:r>
    </w:p>
    <w:p w14:paraId="0DF8123B" w14:textId="210D9D2D" w:rsidR="00767DBA" w:rsidRPr="003E58C5" w:rsidRDefault="00767DBA" w:rsidP="002D18D8">
      <w:pPr>
        <w:spacing w:after="0" w:line="240" w:lineRule="auto"/>
        <w:ind w:left="142"/>
        <w:rPr>
          <w:rFonts w:ascii="Tenorite" w:hAnsi="Tenorite"/>
          <w:color w:val="C45911" w:themeColor="accent2" w:themeShade="BF"/>
        </w:rPr>
      </w:pPr>
      <w:r w:rsidRPr="003E58C5">
        <w:rPr>
          <w:rFonts w:ascii="Tenorite" w:hAnsi="Tenorite"/>
          <w:color w:val="C45911" w:themeColor="accent2" w:themeShade="BF"/>
        </w:rPr>
        <w:t>Huiles minérales</w:t>
      </w:r>
      <w:r w:rsidR="00666EAA">
        <w:rPr>
          <w:rFonts w:ascii="Tenorite" w:hAnsi="Tenorite"/>
          <w:color w:val="C45911" w:themeColor="accent2" w:themeShade="BF"/>
        </w:rPr>
        <w:t xml:space="preserve"> /</w:t>
      </w:r>
    </w:p>
    <w:p w14:paraId="75D86915" w14:textId="78AFB5E8" w:rsidR="002B7CB6" w:rsidRPr="003E58C5" w:rsidRDefault="002B7CB6" w:rsidP="002D18D8">
      <w:pPr>
        <w:spacing w:after="0" w:line="240" w:lineRule="auto"/>
        <w:ind w:left="142"/>
        <w:rPr>
          <w:rFonts w:ascii="Tenorite" w:hAnsi="Tenorite"/>
          <w:color w:val="C45911" w:themeColor="accent2" w:themeShade="BF"/>
        </w:rPr>
      </w:pPr>
      <w:r w:rsidRPr="003E58C5">
        <w:rPr>
          <w:rFonts w:ascii="Tenorite" w:hAnsi="Tenorite"/>
          <w:color w:val="C45911" w:themeColor="accent2" w:themeShade="BF"/>
        </w:rPr>
        <w:t>Médicaments vétérinaires</w:t>
      </w:r>
      <w:r w:rsidR="00666EAA">
        <w:rPr>
          <w:rFonts w:ascii="Tenorite" w:hAnsi="Tenorite"/>
          <w:color w:val="C45911" w:themeColor="accent2" w:themeShade="BF"/>
        </w:rPr>
        <w:t xml:space="preserve"> /</w:t>
      </w:r>
    </w:p>
    <w:p w14:paraId="0A443900" w14:textId="164A8D44" w:rsidR="002B7CB6" w:rsidRPr="003E58C5" w:rsidRDefault="002B7CB6" w:rsidP="002D18D8">
      <w:pPr>
        <w:spacing w:after="0" w:line="240" w:lineRule="auto"/>
        <w:ind w:left="142"/>
        <w:rPr>
          <w:rFonts w:ascii="Tenorite" w:hAnsi="Tenorite"/>
          <w:color w:val="C45911" w:themeColor="accent2" w:themeShade="BF"/>
        </w:rPr>
      </w:pPr>
      <w:r w:rsidRPr="003E58C5">
        <w:rPr>
          <w:rFonts w:ascii="Tenorite" w:hAnsi="Tenorite"/>
          <w:color w:val="C45911" w:themeColor="accent2" w:themeShade="BF"/>
        </w:rPr>
        <w:t>Métaux lourds</w:t>
      </w:r>
      <w:r w:rsidR="00666EAA">
        <w:rPr>
          <w:rFonts w:ascii="Tenorite" w:hAnsi="Tenorite"/>
          <w:color w:val="C45911" w:themeColor="accent2" w:themeShade="BF"/>
        </w:rPr>
        <w:t xml:space="preserve"> /</w:t>
      </w:r>
    </w:p>
    <w:p w14:paraId="764B7DE7" w14:textId="15E11F42" w:rsidR="002B7CB6" w:rsidRPr="003E58C5" w:rsidRDefault="002B7CB6" w:rsidP="002D18D8">
      <w:pPr>
        <w:spacing w:after="0" w:line="240" w:lineRule="auto"/>
        <w:ind w:left="142"/>
        <w:rPr>
          <w:rFonts w:ascii="Tenorite" w:hAnsi="Tenorite"/>
          <w:color w:val="C45911" w:themeColor="accent2" w:themeShade="BF"/>
        </w:rPr>
      </w:pPr>
      <w:r w:rsidRPr="003E58C5">
        <w:rPr>
          <w:rFonts w:ascii="Tenorite" w:hAnsi="Tenorite"/>
          <w:color w:val="C45911" w:themeColor="accent2" w:themeShade="BF"/>
        </w:rPr>
        <w:t>Mycotoxines</w:t>
      </w:r>
      <w:r w:rsidR="00666EAA">
        <w:rPr>
          <w:rFonts w:ascii="Tenorite" w:hAnsi="Tenorite"/>
          <w:color w:val="C45911" w:themeColor="accent2" w:themeShade="BF"/>
        </w:rPr>
        <w:t xml:space="preserve"> /</w:t>
      </w:r>
    </w:p>
    <w:p w14:paraId="71D5CD6D" w14:textId="7878D5E1" w:rsidR="00767DBA" w:rsidRDefault="00767DBA" w:rsidP="002D18D8">
      <w:pPr>
        <w:spacing w:after="0" w:line="240" w:lineRule="auto"/>
        <w:ind w:left="142"/>
        <w:rPr>
          <w:rFonts w:ascii="Tenorite" w:hAnsi="Tenorite"/>
          <w:color w:val="C45911" w:themeColor="accent2" w:themeShade="BF"/>
        </w:rPr>
      </w:pPr>
      <w:r w:rsidRPr="003E58C5">
        <w:rPr>
          <w:rFonts w:ascii="Tenorite" w:hAnsi="Tenorite"/>
          <w:color w:val="C45911" w:themeColor="accent2" w:themeShade="BF"/>
        </w:rPr>
        <w:t xml:space="preserve">Perturbateurs endocriniens </w:t>
      </w:r>
      <w:r w:rsidR="00666EAA">
        <w:rPr>
          <w:rFonts w:ascii="Tenorite" w:hAnsi="Tenorite"/>
          <w:color w:val="C45911" w:themeColor="accent2" w:themeShade="BF"/>
        </w:rPr>
        <w:t>/</w:t>
      </w:r>
    </w:p>
    <w:p w14:paraId="20CB711B" w14:textId="77777777" w:rsidR="00E92909" w:rsidRPr="003E58C5" w:rsidRDefault="00E92909" w:rsidP="00E92909">
      <w:pPr>
        <w:spacing w:after="0" w:line="240" w:lineRule="auto"/>
        <w:ind w:left="142"/>
        <w:rPr>
          <w:rFonts w:ascii="Tenorite" w:hAnsi="Tenorite"/>
          <w:color w:val="C45911" w:themeColor="accent2" w:themeShade="BF"/>
        </w:rPr>
      </w:pPr>
      <w:r w:rsidRPr="003E58C5">
        <w:rPr>
          <w:rFonts w:ascii="Tenorite" w:hAnsi="Tenorite"/>
          <w:color w:val="C45911" w:themeColor="accent2" w:themeShade="BF"/>
        </w:rPr>
        <w:t>Radioactivité</w:t>
      </w:r>
      <w:r>
        <w:rPr>
          <w:rFonts w:ascii="Tenorite" w:hAnsi="Tenorite"/>
          <w:color w:val="C45911" w:themeColor="accent2" w:themeShade="BF"/>
        </w:rPr>
        <w:t xml:space="preserve"> /</w:t>
      </w:r>
    </w:p>
    <w:p w14:paraId="4929FD01" w14:textId="0CD210A9" w:rsidR="002B7CB6" w:rsidRPr="003E58C5" w:rsidRDefault="002B7CB6" w:rsidP="002D18D8">
      <w:pPr>
        <w:spacing w:after="0" w:line="240" w:lineRule="auto"/>
        <w:ind w:left="142"/>
        <w:rPr>
          <w:rFonts w:ascii="Tenorite" w:hAnsi="Tenorite"/>
          <w:color w:val="C45911" w:themeColor="accent2" w:themeShade="BF"/>
        </w:rPr>
      </w:pPr>
      <w:r w:rsidRPr="003E58C5">
        <w:rPr>
          <w:rFonts w:ascii="Tenorite" w:hAnsi="Tenorite"/>
          <w:color w:val="C45911" w:themeColor="accent2" w:themeShade="BF"/>
        </w:rPr>
        <w:t>Pesticides</w:t>
      </w:r>
    </w:p>
    <w:p w14:paraId="5CC7E5DE" w14:textId="77777777" w:rsidR="00582498" w:rsidRPr="003E58C5" w:rsidRDefault="00582498" w:rsidP="003E58C5">
      <w:pPr>
        <w:pStyle w:val="Textebrut"/>
        <w:ind w:left="142"/>
        <w:jc w:val="both"/>
        <w:rPr>
          <w:rFonts w:ascii="Tenorite" w:hAnsi="Tenorite"/>
          <w:szCs w:val="22"/>
        </w:rPr>
      </w:pPr>
      <w:hyperlink r:id="rId22" w:history="1">
        <w:r w:rsidRPr="003E58C5">
          <w:rPr>
            <w:rStyle w:val="Lienhypertexte"/>
            <w:rFonts w:ascii="Tenorite" w:hAnsi="Tenorite"/>
            <w:color w:val="auto"/>
            <w:szCs w:val="22"/>
          </w:rPr>
          <w:t>Règlement</w:t>
        </w:r>
      </w:hyperlink>
      <w:r w:rsidRPr="003E58C5">
        <w:rPr>
          <w:rFonts w:ascii="Tenorite" w:hAnsi="Tenorite"/>
          <w:szCs w:val="22"/>
        </w:rPr>
        <w:t xml:space="preserve"> (UE) 2025/195 de la Commission du 3 février 2025 modifiant l’annexe II du règlement (CE) no 396/2005 du Parlement européen et du Conseil en ce qui concerne les limites maximales applicables aux résidus de fenbuconazole et de penconazole présents dans ou sur certains produits (JOUE 04/02/2025)</w:t>
      </w:r>
    </w:p>
    <w:p w14:paraId="7BCA4D89" w14:textId="77777777" w:rsidR="00582498" w:rsidRPr="003E58C5" w:rsidRDefault="00582498" w:rsidP="003E58C5">
      <w:pPr>
        <w:pStyle w:val="Textebrut"/>
        <w:ind w:left="142"/>
        <w:jc w:val="both"/>
        <w:rPr>
          <w:rFonts w:ascii="Tenorite" w:hAnsi="Tenorite"/>
          <w:szCs w:val="22"/>
        </w:rPr>
      </w:pPr>
    </w:p>
    <w:p w14:paraId="1B0D8372" w14:textId="77777777" w:rsidR="00582498" w:rsidRPr="003E58C5" w:rsidRDefault="00582498" w:rsidP="003E58C5">
      <w:pPr>
        <w:pStyle w:val="Textebrut"/>
        <w:ind w:left="142"/>
        <w:jc w:val="both"/>
        <w:rPr>
          <w:rFonts w:ascii="Tenorite" w:hAnsi="Tenorite"/>
          <w:szCs w:val="22"/>
        </w:rPr>
      </w:pPr>
      <w:hyperlink r:id="rId23" w:history="1">
        <w:r w:rsidRPr="003E58C5">
          <w:rPr>
            <w:rStyle w:val="Lienhypertexte"/>
            <w:rFonts w:ascii="Tenorite" w:hAnsi="Tenorite"/>
            <w:color w:val="auto"/>
            <w:szCs w:val="22"/>
          </w:rPr>
          <w:t>Rectificatif</w:t>
        </w:r>
      </w:hyperlink>
      <w:r w:rsidRPr="003E58C5">
        <w:rPr>
          <w:rFonts w:ascii="Tenorite" w:hAnsi="Tenorite"/>
          <w:szCs w:val="22"/>
        </w:rPr>
        <w:t xml:space="preserve"> au règlement (UE) 2024/2612 de la Commission du 7 octobre 2024 modifiant les annexes II, III et IV du règlement (CE) no 396/2005 du Parlement européen et du Conseil en ce qui concerne les limites maximales applicables aux résidus de </w:t>
      </w:r>
      <w:proofErr w:type="spellStart"/>
      <w:r w:rsidRPr="003E58C5">
        <w:rPr>
          <w:rFonts w:ascii="Tenorite" w:hAnsi="Tenorite"/>
          <w:szCs w:val="22"/>
        </w:rPr>
        <w:t>chitosane</w:t>
      </w:r>
      <w:proofErr w:type="spellEnd"/>
      <w:r w:rsidRPr="003E58C5">
        <w:rPr>
          <w:rFonts w:ascii="Tenorite" w:hAnsi="Tenorite"/>
          <w:szCs w:val="22"/>
        </w:rPr>
        <w:t xml:space="preserve">, de </w:t>
      </w:r>
      <w:proofErr w:type="spellStart"/>
      <w:r w:rsidRPr="003E58C5">
        <w:rPr>
          <w:rFonts w:ascii="Tenorite" w:hAnsi="Tenorite"/>
          <w:szCs w:val="22"/>
        </w:rPr>
        <w:t>clopyralide</w:t>
      </w:r>
      <w:proofErr w:type="spellEnd"/>
      <w:r w:rsidRPr="003E58C5">
        <w:rPr>
          <w:rFonts w:ascii="Tenorite" w:hAnsi="Tenorite"/>
          <w:szCs w:val="22"/>
        </w:rPr>
        <w:t xml:space="preserve">, de difénoconazole, de résidus de distillation de graisses, de flonicamide, de protéines hydrolysées et de </w:t>
      </w:r>
      <w:proofErr w:type="spellStart"/>
      <w:r w:rsidRPr="003E58C5">
        <w:rPr>
          <w:rFonts w:ascii="Tenorite" w:hAnsi="Tenorite"/>
          <w:szCs w:val="22"/>
        </w:rPr>
        <w:t>sénécioate</w:t>
      </w:r>
      <w:proofErr w:type="spellEnd"/>
      <w:r w:rsidRPr="003E58C5">
        <w:rPr>
          <w:rFonts w:ascii="Tenorite" w:hAnsi="Tenorite"/>
          <w:szCs w:val="22"/>
        </w:rPr>
        <w:t xml:space="preserve"> de </w:t>
      </w:r>
      <w:proofErr w:type="spellStart"/>
      <w:r w:rsidRPr="003E58C5">
        <w:rPr>
          <w:rFonts w:ascii="Tenorite" w:hAnsi="Tenorite"/>
          <w:szCs w:val="22"/>
        </w:rPr>
        <w:t>lavandulyle</w:t>
      </w:r>
      <w:proofErr w:type="spellEnd"/>
      <w:r w:rsidRPr="003E58C5">
        <w:rPr>
          <w:rFonts w:ascii="Tenorite" w:hAnsi="Tenorite"/>
          <w:szCs w:val="22"/>
        </w:rPr>
        <w:t xml:space="preserve"> présents dans ou sur certains produits (JOUE 20/02/2025)</w:t>
      </w:r>
    </w:p>
    <w:p w14:paraId="78325B4A" w14:textId="66925B87" w:rsidR="00F74CE4" w:rsidRPr="003E58C5" w:rsidRDefault="00F74CE4" w:rsidP="002D18D8">
      <w:pPr>
        <w:shd w:val="clear" w:color="auto" w:fill="FFFFFF"/>
        <w:spacing w:after="0" w:line="240" w:lineRule="auto"/>
        <w:ind w:left="142"/>
        <w:jc w:val="both"/>
        <w:rPr>
          <w:rFonts w:ascii="Tenorite" w:hAnsi="Tenorite"/>
        </w:rPr>
      </w:pPr>
    </w:p>
    <w:p w14:paraId="7B15C6BD" w14:textId="267B7458" w:rsidR="00767DBA" w:rsidRPr="003E58C5" w:rsidRDefault="00767DBA" w:rsidP="002D18D8">
      <w:pPr>
        <w:spacing w:after="0" w:line="240" w:lineRule="auto"/>
        <w:ind w:left="142"/>
        <w:rPr>
          <w:rFonts w:ascii="Tenorite" w:hAnsi="Tenorite"/>
          <w:color w:val="C45911" w:themeColor="accent2" w:themeShade="BF"/>
        </w:rPr>
      </w:pPr>
      <w:r w:rsidRPr="003E58C5">
        <w:rPr>
          <w:rFonts w:ascii="Tenorite" w:hAnsi="Tenorite"/>
          <w:color w:val="C45911" w:themeColor="accent2" w:themeShade="BF"/>
        </w:rPr>
        <w:t>PFAS</w:t>
      </w:r>
    </w:p>
    <w:p w14:paraId="76F8880D" w14:textId="77777777" w:rsidR="00582498" w:rsidRPr="003E58C5" w:rsidRDefault="00582498" w:rsidP="002D18D8">
      <w:pPr>
        <w:pStyle w:val="Textebrut"/>
        <w:ind w:left="142"/>
        <w:rPr>
          <w:rFonts w:ascii="Tenorite" w:hAnsi="Tenorite"/>
          <w:szCs w:val="22"/>
        </w:rPr>
      </w:pPr>
      <w:hyperlink r:id="rId24" w:history="1">
        <w:r w:rsidRPr="003E58C5">
          <w:rPr>
            <w:rStyle w:val="Lienhypertexte"/>
            <w:rFonts w:ascii="Tenorite" w:hAnsi="Tenorite"/>
            <w:szCs w:val="22"/>
          </w:rPr>
          <w:t>LOI</w:t>
        </w:r>
      </w:hyperlink>
      <w:r w:rsidRPr="003E58C5">
        <w:rPr>
          <w:rFonts w:ascii="Tenorite" w:hAnsi="Tenorite"/>
          <w:szCs w:val="22"/>
        </w:rPr>
        <w:t xml:space="preserve"> n° 2025-188 du 27 février 2025 visant à protéger la population des risques liés aux substances </w:t>
      </w:r>
      <w:proofErr w:type="spellStart"/>
      <w:r w:rsidRPr="003E58C5">
        <w:rPr>
          <w:rFonts w:ascii="Tenorite" w:hAnsi="Tenorite"/>
          <w:szCs w:val="22"/>
        </w:rPr>
        <w:t>perfluoroalkylées</w:t>
      </w:r>
      <w:proofErr w:type="spellEnd"/>
      <w:r w:rsidRPr="003E58C5">
        <w:rPr>
          <w:rFonts w:ascii="Tenorite" w:hAnsi="Tenorite"/>
          <w:szCs w:val="22"/>
        </w:rPr>
        <w:t xml:space="preserve"> et </w:t>
      </w:r>
      <w:proofErr w:type="spellStart"/>
      <w:r w:rsidRPr="003E58C5">
        <w:rPr>
          <w:rFonts w:ascii="Tenorite" w:hAnsi="Tenorite"/>
          <w:szCs w:val="22"/>
        </w:rPr>
        <w:t>polyfluoroalkylées</w:t>
      </w:r>
      <w:proofErr w:type="spellEnd"/>
      <w:r w:rsidRPr="003E58C5">
        <w:rPr>
          <w:rFonts w:ascii="Tenorite" w:hAnsi="Tenorite"/>
          <w:szCs w:val="22"/>
        </w:rPr>
        <w:t xml:space="preserve"> (1) (JORF 28/02/2025)</w:t>
      </w:r>
    </w:p>
    <w:p w14:paraId="54A271E7" w14:textId="77777777" w:rsidR="00582498" w:rsidRPr="003E58C5" w:rsidRDefault="00582498" w:rsidP="002D18D8">
      <w:pPr>
        <w:spacing w:after="0" w:line="240" w:lineRule="auto"/>
        <w:ind w:left="142"/>
        <w:rPr>
          <w:rFonts w:ascii="Tenorite" w:hAnsi="Tenorite"/>
          <w:color w:val="C45911" w:themeColor="accent2" w:themeShade="BF"/>
        </w:rPr>
      </w:pPr>
    </w:p>
    <w:p w14:paraId="2115C4F0" w14:textId="01B12948" w:rsidR="002B7CB6" w:rsidRPr="002D18D8" w:rsidRDefault="002B7CB6" w:rsidP="002D18D8">
      <w:pPr>
        <w:shd w:val="clear" w:color="auto" w:fill="D9D9D9" w:themeFill="background1" w:themeFillShade="D9"/>
        <w:spacing w:after="0" w:line="240" w:lineRule="auto"/>
        <w:ind w:left="142"/>
        <w:rPr>
          <w:rFonts w:ascii="Tenorite" w:hAnsi="Tenorite"/>
          <w:b/>
          <w:color w:val="833C0B" w:themeColor="accent2" w:themeShade="80"/>
          <w:sz w:val="24"/>
        </w:rPr>
      </w:pPr>
      <w:r w:rsidRPr="002D18D8">
        <w:rPr>
          <w:rFonts w:ascii="Tenorite" w:hAnsi="Tenorite"/>
          <w:b/>
          <w:color w:val="833C0B" w:themeColor="accent2" w:themeShade="80"/>
          <w:sz w:val="24"/>
        </w:rPr>
        <w:lastRenderedPageBreak/>
        <w:t xml:space="preserve">ETIQUETAGE </w:t>
      </w:r>
      <w:r w:rsidR="00767DBA" w:rsidRPr="002D18D8">
        <w:rPr>
          <w:rFonts w:ascii="Tenorite" w:hAnsi="Tenorite"/>
          <w:b/>
          <w:color w:val="833C0B" w:themeColor="accent2" w:themeShade="80"/>
          <w:sz w:val="24"/>
        </w:rPr>
        <w:t>ET PRESENTATION DES PRODUITS</w:t>
      </w:r>
    </w:p>
    <w:p w14:paraId="13F8048B" w14:textId="5D566BC8" w:rsidR="00767DBA" w:rsidRPr="003E58C5" w:rsidRDefault="00767DBA" w:rsidP="002D18D8">
      <w:pPr>
        <w:spacing w:after="0" w:line="240" w:lineRule="auto"/>
        <w:ind w:left="142"/>
        <w:rPr>
          <w:rFonts w:ascii="Tenorite" w:hAnsi="Tenorite"/>
          <w:color w:val="C45911" w:themeColor="accent2" w:themeShade="BF"/>
          <w:szCs w:val="24"/>
        </w:rPr>
      </w:pPr>
      <w:r w:rsidRPr="003E58C5">
        <w:rPr>
          <w:rFonts w:ascii="Tenorite" w:hAnsi="Tenorite"/>
          <w:color w:val="C45911" w:themeColor="accent2" w:themeShade="BF"/>
          <w:szCs w:val="24"/>
        </w:rPr>
        <w:t>Environnemental</w:t>
      </w:r>
      <w:r w:rsidR="00666EAA">
        <w:rPr>
          <w:rFonts w:ascii="Tenorite" w:hAnsi="Tenorite"/>
          <w:color w:val="C45911" w:themeColor="accent2" w:themeShade="BF"/>
          <w:szCs w:val="24"/>
        </w:rPr>
        <w:t xml:space="preserve"> /</w:t>
      </w:r>
    </w:p>
    <w:p w14:paraId="5B30DC1D" w14:textId="4211AB85" w:rsidR="002F17D1" w:rsidRPr="003E58C5" w:rsidRDefault="002B7CB6" w:rsidP="002D18D8">
      <w:pPr>
        <w:spacing w:after="0" w:line="240" w:lineRule="auto"/>
        <w:ind w:left="142"/>
        <w:rPr>
          <w:rFonts w:ascii="Tenorite" w:hAnsi="Tenorite"/>
          <w:color w:val="C45911" w:themeColor="accent2" w:themeShade="BF"/>
          <w:szCs w:val="24"/>
        </w:rPr>
      </w:pPr>
      <w:r w:rsidRPr="003E58C5">
        <w:rPr>
          <w:rFonts w:ascii="Tenorite" w:hAnsi="Tenorite"/>
          <w:color w:val="C45911" w:themeColor="accent2" w:themeShade="BF"/>
          <w:szCs w:val="24"/>
        </w:rPr>
        <w:t>Général</w:t>
      </w:r>
      <w:r w:rsidR="00666EAA">
        <w:rPr>
          <w:rFonts w:ascii="Tenorite" w:hAnsi="Tenorite"/>
          <w:color w:val="C45911" w:themeColor="accent2" w:themeShade="BF"/>
          <w:szCs w:val="24"/>
        </w:rPr>
        <w:t xml:space="preserve"> /</w:t>
      </w:r>
    </w:p>
    <w:p w14:paraId="7C7935D3" w14:textId="55A405DD" w:rsidR="002B7CB6" w:rsidRPr="003E58C5" w:rsidRDefault="002B7CB6" w:rsidP="002D18D8">
      <w:pPr>
        <w:spacing w:after="0" w:line="240" w:lineRule="auto"/>
        <w:ind w:left="142"/>
        <w:rPr>
          <w:rFonts w:ascii="Tenorite" w:hAnsi="Tenorite"/>
          <w:color w:val="C45911" w:themeColor="accent2" w:themeShade="BF"/>
          <w:szCs w:val="24"/>
        </w:rPr>
      </w:pPr>
      <w:r w:rsidRPr="003E58C5">
        <w:rPr>
          <w:rFonts w:ascii="Tenorite" w:hAnsi="Tenorite"/>
          <w:color w:val="C45911" w:themeColor="accent2" w:themeShade="BF"/>
          <w:szCs w:val="24"/>
        </w:rPr>
        <w:t>Nutritionnel</w:t>
      </w:r>
      <w:r w:rsidR="00666EAA">
        <w:rPr>
          <w:rFonts w:ascii="Tenorite" w:hAnsi="Tenorite"/>
          <w:color w:val="C45911" w:themeColor="accent2" w:themeShade="BF"/>
          <w:szCs w:val="24"/>
        </w:rPr>
        <w:t xml:space="preserve"> /</w:t>
      </w:r>
    </w:p>
    <w:p w14:paraId="5112D211" w14:textId="77777777" w:rsidR="002F17D1" w:rsidRPr="002D18D8" w:rsidRDefault="002F17D1" w:rsidP="002D18D8">
      <w:pPr>
        <w:spacing w:after="0" w:line="240" w:lineRule="auto"/>
        <w:ind w:left="142"/>
        <w:rPr>
          <w:rFonts w:ascii="Tenorite" w:hAnsi="Tenorite"/>
          <w:color w:val="C45911" w:themeColor="accent2" w:themeShade="BF"/>
          <w:sz w:val="20"/>
        </w:rPr>
      </w:pPr>
    </w:p>
    <w:p w14:paraId="5A11BE1A" w14:textId="77777777" w:rsidR="002B7CB6" w:rsidRPr="002D18D8" w:rsidRDefault="002B7CB6" w:rsidP="002D18D8">
      <w:pPr>
        <w:shd w:val="clear" w:color="auto" w:fill="D9D9D9" w:themeFill="background1" w:themeFillShade="D9"/>
        <w:spacing w:after="0" w:line="240" w:lineRule="auto"/>
        <w:ind w:left="142"/>
        <w:rPr>
          <w:rFonts w:ascii="Tenorite" w:hAnsi="Tenorite"/>
          <w:b/>
          <w:color w:val="833C0B" w:themeColor="accent2" w:themeShade="80"/>
          <w:sz w:val="24"/>
        </w:rPr>
      </w:pPr>
      <w:r w:rsidRPr="002D18D8">
        <w:rPr>
          <w:rFonts w:ascii="Tenorite" w:hAnsi="Tenorite"/>
          <w:b/>
          <w:color w:val="833C0B" w:themeColor="accent2" w:themeShade="80"/>
          <w:sz w:val="24"/>
        </w:rPr>
        <w:t xml:space="preserve">HYGIENE ET SECURITE DES ALIMENTS </w:t>
      </w:r>
    </w:p>
    <w:p w14:paraId="36A3F95B" w14:textId="77777777" w:rsidR="00582498" w:rsidRPr="003E58C5" w:rsidRDefault="00582498" w:rsidP="003E58C5">
      <w:pPr>
        <w:shd w:val="clear" w:color="auto" w:fill="FFFFFF"/>
        <w:spacing w:after="0" w:line="240" w:lineRule="auto"/>
        <w:ind w:left="142"/>
        <w:rPr>
          <w:rFonts w:ascii="Tenorite" w:eastAsia="Times New Roman" w:hAnsi="Tenorite" w:cs="Times New Roman"/>
          <w:lang w:eastAsia="fr-FR"/>
        </w:rPr>
      </w:pPr>
      <w:r w:rsidRPr="003E58C5">
        <w:rPr>
          <w:rFonts w:ascii="Tenorite" w:eastAsia="Times New Roman" w:hAnsi="Tenorite" w:cs="Times New Roman"/>
          <w:b/>
          <w:bCs/>
          <w:lang w:eastAsia="fr-FR"/>
        </w:rPr>
        <w:t>Instruction technique </w:t>
      </w:r>
      <w:hyperlink r:id="rId25" w:history="1">
        <w:r w:rsidRPr="003E58C5">
          <w:rPr>
            <w:rFonts w:ascii="Tenorite" w:eastAsia="Times New Roman" w:hAnsi="Tenorite" w:cs="Times New Roman"/>
            <w:u w:val="single"/>
            <w:lang w:eastAsia="fr-FR"/>
          </w:rPr>
          <w:t>DGAL/SDSSA/2025-78</w:t>
        </w:r>
      </w:hyperlink>
      <w:r w:rsidRPr="003E58C5">
        <w:rPr>
          <w:rFonts w:ascii="Tenorite" w:eastAsia="Times New Roman" w:hAnsi="Tenorite" w:cs="Times New Roman"/>
          <w:lang w:eastAsia="fr-FR"/>
        </w:rPr>
        <w:t> du 10-02-2025 - Durée de vie microbiologique des aliments (DGAL)</w:t>
      </w:r>
    </w:p>
    <w:p w14:paraId="1DFF0729" w14:textId="77777777" w:rsidR="00E92909" w:rsidRDefault="00E92909" w:rsidP="002D18D8">
      <w:pPr>
        <w:spacing w:after="0" w:line="240" w:lineRule="auto"/>
        <w:ind w:left="142"/>
        <w:rPr>
          <w:rFonts w:ascii="Tenorite" w:hAnsi="Tenorite"/>
          <w:color w:val="C45911" w:themeColor="accent2" w:themeShade="BF"/>
        </w:rPr>
      </w:pPr>
    </w:p>
    <w:p w14:paraId="75B6C2CF" w14:textId="1FC68592" w:rsidR="002F17D1" w:rsidRPr="003E58C5" w:rsidRDefault="002B7CB6" w:rsidP="002D18D8">
      <w:pPr>
        <w:spacing w:after="0" w:line="240" w:lineRule="auto"/>
        <w:ind w:left="142"/>
        <w:rPr>
          <w:rFonts w:ascii="Tenorite" w:hAnsi="Tenorite"/>
          <w:color w:val="C45911" w:themeColor="accent2" w:themeShade="BF"/>
        </w:rPr>
      </w:pPr>
      <w:r w:rsidRPr="003E58C5">
        <w:rPr>
          <w:rFonts w:ascii="Tenorite" w:hAnsi="Tenorite"/>
          <w:color w:val="C45911" w:themeColor="accent2" w:themeShade="BF"/>
        </w:rPr>
        <w:t>Agrément sanitaire</w:t>
      </w:r>
      <w:r w:rsidR="00E92909">
        <w:rPr>
          <w:rFonts w:ascii="Tenorite" w:hAnsi="Tenorite"/>
          <w:color w:val="C45911" w:themeColor="accent2" w:themeShade="BF"/>
        </w:rPr>
        <w:t xml:space="preserve"> /</w:t>
      </w:r>
    </w:p>
    <w:p w14:paraId="22B99406" w14:textId="2AA5FDE0" w:rsidR="00767DBA" w:rsidRPr="003E58C5" w:rsidRDefault="00767DBA" w:rsidP="002D18D8">
      <w:pPr>
        <w:spacing w:after="0" w:line="240" w:lineRule="auto"/>
        <w:ind w:left="142"/>
        <w:rPr>
          <w:rFonts w:ascii="Tenorite" w:hAnsi="Tenorite"/>
          <w:color w:val="C45911" w:themeColor="accent2" w:themeShade="BF"/>
        </w:rPr>
      </w:pPr>
      <w:r w:rsidRPr="003E58C5">
        <w:rPr>
          <w:rFonts w:ascii="Tenorite" w:hAnsi="Tenorite"/>
          <w:color w:val="C45911" w:themeColor="accent2" w:themeShade="BF"/>
        </w:rPr>
        <w:t>Allergènes</w:t>
      </w:r>
      <w:r w:rsidR="00E92909">
        <w:rPr>
          <w:rFonts w:ascii="Tenorite" w:hAnsi="Tenorite"/>
          <w:color w:val="C45911" w:themeColor="accent2" w:themeShade="BF"/>
        </w:rPr>
        <w:t xml:space="preserve"> /</w:t>
      </w:r>
    </w:p>
    <w:p w14:paraId="7F5C7775" w14:textId="2907BE21" w:rsidR="002F17D1" w:rsidRPr="003E58C5" w:rsidRDefault="002B7CB6" w:rsidP="002D18D8">
      <w:pPr>
        <w:spacing w:after="0" w:line="240" w:lineRule="auto"/>
        <w:ind w:left="142"/>
        <w:rPr>
          <w:rFonts w:ascii="Tenorite" w:hAnsi="Tenorite"/>
          <w:color w:val="C45911" w:themeColor="accent2" w:themeShade="BF"/>
        </w:rPr>
      </w:pPr>
      <w:r w:rsidRPr="003E58C5">
        <w:rPr>
          <w:rFonts w:ascii="Tenorite" w:hAnsi="Tenorite"/>
          <w:color w:val="C45911" w:themeColor="accent2" w:themeShade="BF"/>
        </w:rPr>
        <w:t>Bulletins épidémiologiques</w:t>
      </w:r>
      <w:r w:rsidR="00E92909">
        <w:rPr>
          <w:rFonts w:ascii="Tenorite" w:hAnsi="Tenorite"/>
          <w:color w:val="C45911" w:themeColor="accent2" w:themeShade="BF"/>
        </w:rPr>
        <w:t xml:space="preserve"> /</w:t>
      </w:r>
    </w:p>
    <w:p w14:paraId="7DDACA40" w14:textId="77777777" w:rsidR="00E92909" w:rsidRPr="003E58C5" w:rsidRDefault="00E92909" w:rsidP="00E92909">
      <w:pPr>
        <w:spacing w:after="0" w:line="240" w:lineRule="auto"/>
        <w:ind w:left="142"/>
        <w:rPr>
          <w:rFonts w:ascii="Tenorite" w:hAnsi="Tenorite"/>
          <w:color w:val="C45911" w:themeColor="accent2" w:themeShade="BF"/>
        </w:rPr>
      </w:pPr>
      <w:r w:rsidRPr="003E58C5">
        <w:rPr>
          <w:rFonts w:ascii="Tenorite" w:hAnsi="Tenorite"/>
          <w:color w:val="C45911" w:themeColor="accent2" w:themeShade="BF"/>
        </w:rPr>
        <w:t>Contrôles officiels</w:t>
      </w:r>
      <w:r>
        <w:rPr>
          <w:rFonts w:ascii="Tenorite" w:hAnsi="Tenorite"/>
          <w:color w:val="C45911" w:themeColor="accent2" w:themeShade="BF"/>
        </w:rPr>
        <w:t xml:space="preserve"> /</w:t>
      </w:r>
    </w:p>
    <w:p w14:paraId="5E273B1F" w14:textId="77777777" w:rsidR="00E92909" w:rsidRPr="003E58C5" w:rsidRDefault="00E92909" w:rsidP="00E92909">
      <w:pPr>
        <w:spacing w:after="0" w:line="240" w:lineRule="auto"/>
        <w:ind w:left="142"/>
        <w:rPr>
          <w:rFonts w:ascii="Tenorite" w:hAnsi="Tenorite"/>
          <w:color w:val="C45911" w:themeColor="accent2" w:themeShade="BF"/>
        </w:rPr>
      </w:pPr>
      <w:r w:rsidRPr="003E58C5">
        <w:rPr>
          <w:rFonts w:ascii="Tenorite" w:hAnsi="Tenorite"/>
          <w:color w:val="C45911" w:themeColor="accent2" w:themeShade="BF"/>
        </w:rPr>
        <w:t>Entreposage</w:t>
      </w:r>
      <w:r>
        <w:rPr>
          <w:rFonts w:ascii="Tenorite" w:hAnsi="Tenorite"/>
          <w:color w:val="C45911" w:themeColor="accent2" w:themeShade="BF"/>
        </w:rPr>
        <w:t xml:space="preserve"> /</w:t>
      </w:r>
    </w:p>
    <w:p w14:paraId="32D2178C" w14:textId="77777777" w:rsidR="00E92909" w:rsidRPr="003E58C5" w:rsidRDefault="00E92909" w:rsidP="00E92909">
      <w:pPr>
        <w:spacing w:after="0" w:line="240" w:lineRule="auto"/>
        <w:ind w:left="142"/>
        <w:rPr>
          <w:rFonts w:ascii="Tenorite" w:hAnsi="Tenorite"/>
          <w:color w:val="C45911" w:themeColor="accent2" w:themeShade="BF"/>
        </w:rPr>
      </w:pPr>
      <w:r w:rsidRPr="003E58C5">
        <w:rPr>
          <w:rFonts w:ascii="Tenorite" w:hAnsi="Tenorite"/>
          <w:color w:val="C45911" w:themeColor="accent2" w:themeShade="BF"/>
        </w:rPr>
        <w:t>Hygiène et GBPH</w:t>
      </w:r>
      <w:r>
        <w:rPr>
          <w:rFonts w:ascii="Tenorite" w:hAnsi="Tenorite"/>
          <w:color w:val="C45911" w:themeColor="accent2" w:themeShade="BF"/>
        </w:rPr>
        <w:t xml:space="preserve"> /</w:t>
      </w:r>
    </w:p>
    <w:p w14:paraId="40DE353E" w14:textId="77777777" w:rsidR="00E92909" w:rsidRPr="003E58C5" w:rsidRDefault="00E92909" w:rsidP="00E92909">
      <w:pPr>
        <w:spacing w:after="0" w:line="240" w:lineRule="auto"/>
        <w:ind w:left="142"/>
        <w:rPr>
          <w:rFonts w:ascii="Tenorite" w:hAnsi="Tenorite"/>
          <w:color w:val="C45911" w:themeColor="accent2" w:themeShade="BF"/>
        </w:rPr>
      </w:pPr>
      <w:r w:rsidRPr="003E58C5">
        <w:rPr>
          <w:rFonts w:ascii="Tenorite" w:hAnsi="Tenorite"/>
          <w:color w:val="C45911" w:themeColor="accent2" w:themeShade="BF"/>
        </w:rPr>
        <w:t>Transport</w:t>
      </w:r>
      <w:r>
        <w:rPr>
          <w:rFonts w:ascii="Tenorite" w:hAnsi="Tenorite"/>
          <w:color w:val="C45911" w:themeColor="accent2" w:themeShade="BF"/>
        </w:rPr>
        <w:t xml:space="preserve"> /</w:t>
      </w:r>
      <w:r w:rsidRPr="003E58C5">
        <w:rPr>
          <w:rFonts w:ascii="Tenorite" w:hAnsi="Tenorite"/>
          <w:color w:val="C45911" w:themeColor="accent2" w:themeShade="BF"/>
        </w:rPr>
        <w:tab/>
      </w:r>
    </w:p>
    <w:p w14:paraId="5C4E0C63" w14:textId="2ACFE0E6" w:rsidR="00767DBA" w:rsidRPr="003E58C5" w:rsidRDefault="00767DBA" w:rsidP="002D18D8">
      <w:pPr>
        <w:spacing w:after="0" w:line="240" w:lineRule="auto"/>
        <w:ind w:left="142"/>
        <w:rPr>
          <w:rFonts w:ascii="Tenorite" w:hAnsi="Tenorite"/>
          <w:color w:val="C45911" w:themeColor="accent2" w:themeShade="BF"/>
        </w:rPr>
      </w:pPr>
      <w:proofErr w:type="spellStart"/>
      <w:r w:rsidRPr="003E58C5">
        <w:rPr>
          <w:rFonts w:ascii="Tenorite" w:hAnsi="Tenorite"/>
          <w:color w:val="C45911" w:themeColor="accent2" w:themeShade="BF"/>
        </w:rPr>
        <w:t>BuSCA</w:t>
      </w:r>
      <w:proofErr w:type="spellEnd"/>
    </w:p>
    <w:p w14:paraId="0DD4A50B" w14:textId="77777777" w:rsidR="00582498" w:rsidRPr="003E58C5" w:rsidRDefault="00582498" w:rsidP="003E58C5">
      <w:pPr>
        <w:adjustRightInd w:val="0"/>
        <w:spacing w:after="0" w:line="240" w:lineRule="auto"/>
        <w:ind w:left="142"/>
        <w:rPr>
          <w:rFonts w:ascii="Tenorite" w:hAnsi="Tenorite"/>
        </w:rPr>
      </w:pPr>
      <w:hyperlink r:id="rId26" w:history="1">
        <w:proofErr w:type="spellStart"/>
        <w:r w:rsidRPr="003E58C5">
          <w:rPr>
            <w:rStyle w:val="Lienhypertexte"/>
            <w:rFonts w:ascii="Tenorite" w:hAnsi="Tenorite"/>
          </w:rPr>
          <w:t>BuSCA</w:t>
        </w:r>
        <w:proofErr w:type="spellEnd"/>
        <w:r w:rsidRPr="003E58C5">
          <w:rPr>
            <w:rStyle w:val="Lienhypertexte"/>
            <w:rFonts w:ascii="Tenorite" w:hAnsi="Tenorite"/>
          </w:rPr>
          <w:t xml:space="preserve"> n°126</w:t>
        </w:r>
      </w:hyperlink>
      <w:r w:rsidRPr="003E58C5">
        <w:rPr>
          <w:rFonts w:ascii="Tenorite" w:hAnsi="Tenorite"/>
        </w:rPr>
        <w:t>– 07 février 2025, Plateforme de surveillance de la chaîne alimentaire</w:t>
      </w:r>
    </w:p>
    <w:p w14:paraId="61041D2E" w14:textId="77777777" w:rsidR="00582498" w:rsidRPr="003E58C5" w:rsidRDefault="00582498" w:rsidP="003E58C5">
      <w:pPr>
        <w:adjustRightInd w:val="0"/>
        <w:spacing w:after="0" w:line="240" w:lineRule="auto"/>
        <w:ind w:left="142"/>
        <w:rPr>
          <w:rFonts w:ascii="Tenorite" w:hAnsi="Tenorite"/>
        </w:rPr>
      </w:pPr>
      <w:hyperlink r:id="rId27" w:history="1">
        <w:proofErr w:type="spellStart"/>
        <w:r w:rsidRPr="003E58C5">
          <w:rPr>
            <w:rStyle w:val="Lienhypertexte"/>
            <w:rFonts w:ascii="Tenorite" w:hAnsi="Tenorite"/>
          </w:rPr>
          <w:t>BuSCA</w:t>
        </w:r>
        <w:proofErr w:type="spellEnd"/>
        <w:r w:rsidRPr="003E58C5">
          <w:rPr>
            <w:rStyle w:val="Lienhypertexte"/>
            <w:rFonts w:ascii="Tenorite" w:hAnsi="Tenorite"/>
          </w:rPr>
          <w:t xml:space="preserve"> n°127</w:t>
        </w:r>
      </w:hyperlink>
      <w:r w:rsidRPr="003E58C5">
        <w:rPr>
          <w:rFonts w:ascii="Tenorite" w:hAnsi="Tenorite"/>
        </w:rPr>
        <w:t>– 20 février 2025, Plateforme de surveillance de la chaîne alimentaire</w:t>
      </w:r>
    </w:p>
    <w:p w14:paraId="03F66F6C" w14:textId="77777777" w:rsidR="00F74CE4" w:rsidRPr="003E58C5" w:rsidRDefault="00F74CE4" w:rsidP="003E58C5">
      <w:pPr>
        <w:spacing w:after="0" w:line="240" w:lineRule="auto"/>
        <w:ind w:left="142"/>
        <w:rPr>
          <w:rFonts w:ascii="Tenorite" w:hAnsi="Tenorite"/>
          <w:color w:val="C45911" w:themeColor="accent2" w:themeShade="BF"/>
        </w:rPr>
      </w:pPr>
    </w:p>
    <w:p w14:paraId="195FB1E0" w14:textId="2775C1B1" w:rsidR="001B42BB" w:rsidRPr="003E58C5" w:rsidRDefault="002B7CB6" w:rsidP="002D18D8">
      <w:pPr>
        <w:spacing w:after="0" w:line="240" w:lineRule="auto"/>
        <w:ind w:left="142"/>
        <w:rPr>
          <w:rFonts w:ascii="Tenorite" w:hAnsi="Tenorite"/>
          <w:color w:val="C45911" w:themeColor="accent2" w:themeShade="BF"/>
        </w:rPr>
      </w:pPr>
      <w:r w:rsidRPr="003E58C5">
        <w:rPr>
          <w:rFonts w:ascii="Tenorite" w:hAnsi="Tenorite"/>
          <w:color w:val="C45911" w:themeColor="accent2" w:themeShade="BF"/>
        </w:rPr>
        <w:t>Dangers biologiques /microbiologiques</w:t>
      </w:r>
    </w:p>
    <w:p w14:paraId="3BEFD1CB" w14:textId="77777777" w:rsidR="00582498" w:rsidRPr="003E58C5" w:rsidRDefault="00582498" w:rsidP="003E58C5">
      <w:pPr>
        <w:shd w:val="clear" w:color="auto" w:fill="FFFFFF"/>
        <w:spacing w:after="0" w:line="240" w:lineRule="auto"/>
        <w:ind w:left="142"/>
        <w:jc w:val="both"/>
        <w:outlineLvl w:val="2"/>
        <w:rPr>
          <w:rFonts w:ascii="Tenorite" w:eastAsia="Times New Roman" w:hAnsi="Tenorite" w:cs="Times New Roman"/>
          <w:color w:val="C00000"/>
          <w:lang w:eastAsia="fr-FR"/>
        </w:rPr>
      </w:pPr>
      <w:hyperlink r:id="rId28" w:history="1">
        <w:r w:rsidRPr="003E58C5">
          <w:rPr>
            <w:rStyle w:val="Lienhypertexte"/>
            <w:rFonts w:ascii="Tenorite" w:eastAsia="Times New Roman" w:hAnsi="Tenorite" w:cs="Times New Roman"/>
            <w:color w:val="C00000"/>
            <w:lang w:eastAsia="fr-FR"/>
          </w:rPr>
          <w:t>Avis</w:t>
        </w:r>
      </w:hyperlink>
      <w:r w:rsidRPr="003E58C5">
        <w:rPr>
          <w:rFonts w:ascii="Tenorite" w:eastAsia="Times New Roman" w:hAnsi="Tenorite" w:cs="Times New Roman"/>
          <w:color w:val="C00000"/>
          <w:lang w:eastAsia="fr-FR"/>
        </w:rPr>
        <w:t xml:space="preserve"> relatif à la mise à jour des fiches de description de danger biologique transmissible par </w:t>
      </w:r>
      <w:proofErr w:type="gramStart"/>
      <w:r w:rsidRPr="003E58C5">
        <w:rPr>
          <w:rFonts w:ascii="Tenorite" w:eastAsia="Times New Roman" w:hAnsi="Tenorite" w:cs="Times New Roman"/>
          <w:color w:val="C00000"/>
          <w:lang w:eastAsia="fr-FR"/>
        </w:rPr>
        <w:t>les aliments relative</w:t>
      </w:r>
      <w:proofErr w:type="gramEnd"/>
      <w:r w:rsidRPr="003E58C5">
        <w:rPr>
          <w:rFonts w:ascii="Tenorite" w:eastAsia="Times New Roman" w:hAnsi="Tenorite" w:cs="Times New Roman"/>
          <w:color w:val="C00000"/>
          <w:lang w:eastAsia="fr-FR"/>
        </w:rPr>
        <w:t xml:space="preserve"> au virus de l'Hépatite E – avis signé le 06/01/2025</w:t>
      </w:r>
    </w:p>
    <w:p w14:paraId="6C52639E" w14:textId="77777777" w:rsidR="003E58C5" w:rsidRPr="003E58C5" w:rsidRDefault="003E58C5" w:rsidP="003E58C5">
      <w:pPr>
        <w:shd w:val="clear" w:color="auto" w:fill="FFFFFF"/>
        <w:spacing w:after="0" w:line="240" w:lineRule="auto"/>
        <w:ind w:left="142"/>
        <w:jc w:val="both"/>
        <w:outlineLvl w:val="2"/>
        <w:rPr>
          <w:rFonts w:ascii="Tenorite" w:eastAsia="Times New Roman" w:hAnsi="Tenorite" w:cs="Times New Roman"/>
          <w:color w:val="C00000"/>
          <w:lang w:eastAsia="fr-FR"/>
        </w:rPr>
      </w:pPr>
    </w:p>
    <w:p w14:paraId="51A3BB77" w14:textId="77777777" w:rsidR="00582498" w:rsidRPr="00E92909" w:rsidRDefault="00582498" w:rsidP="003E58C5">
      <w:pPr>
        <w:shd w:val="clear" w:color="auto" w:fill="FFFFFF"/>
        <w:spacing w:after="0" w:line="240" w:lineRule="auto"/>
        <w:ind w:left="142"/>
        <w:jc w:val="both"/>
        <w:rPr>
          <w:rFonts w:ascii="Tenorite" w:eastAsia="Times New Roman" w:hAnsi="Tenorite" w:cs="Times New Roman"/>
          <w:lang w:eastAsia="fr-FR"/>
        </w:rPr>
      </w:pPr>
      <w:hyperlink r:id="rId29" w:history="1">
        <w:r w:rsidRPr="00E92909">
          <w:rPr>
            <w:rStyle w:val="Lienhypertexte"/>
            <w:rFonts w:ascii="Tenorite" w:eastAsia="Times New Roman" w:hAnsi="Tenorite" w:cs="Times New Roman"/>
            <w:color w:val="auto"/>
            <w:lang w:eastAsia="fr-FR"/>
          </w:rPr>
          <w:t>Règlement</w:t>
        </w:r>
      </w:hyperlink>
      <w:r w:rsidRPr="00E92909">
        <w:rPr>
          <w:rFonts w:ascii="Tenorite" w:eastAsia="Times New Roman" w:hAnsi="Tenorite" w:cs="Times New Roman"/>
          <w:lang w:eastAsia="fr-FR"/>
        </w:rPr>
        <w:t xml:space="preserve"> d’exécution (UE) 2025/179 de la Commission du 31 janvier 2025 relatif à la collecte et à la transmission de données d’analyses moléculaires dans le cadre des enquêtes épidémiologiques sur les foyers de toxi-infection alimentaire conformément à la directive 2003/99/CE du Parlement européen et du Conseil (JOUE 03/02/2025)</w:t>
      </w:r>
    </w:p>
    <w:p w14:paraId="737F57A5" w14:textId="77777777" w:rsidR="00E92909" w:rsidRDefault="00E92909" w:rsidP="003E58C5">
      <w:pPr>
        <w:spacing w:after="0" w:line="240" w:lineRule="auto"/>
        <w:ind w:left="142"/>
        <w:rPr>
          <w:rFonts w:ascii="Tenorite" w:hAnsi="Tenorite"/>
          <w:color w:val="C45911" w:themeColor="accent2" w:themeShade="BF"/>
        </w:rPr>
      </w:pPr>
    </w:p>
    <w:p w14:paraId="7D1944E0" w14:textId="2213FA8A" w:rsidR="001B42BB" w:rsidRPr="003E58C5" w:rsidRDefault="002B7CB6" w:rsidP="003E58C5">
      <w:pPr>
        <w:spacing w:after="0" w:line="240" w:lineRule="auto"/>
        <w:ind w:left="142"/>
        <w:rPr>
          <w:rFonts w:ascii="Tenorite" w:hAnsi="Tenorite"/>
          <w:color w:val="C45911" w:themeColor="accent2" w:themeShade="BF"/>
        </w:rPr>
      </w:pPr>
      <w:r w:rsidRPr="003E58C5">
        <w:rPr>
          <w:rFonts w:ascii="Tenorite" w:hAnsi="Tenorite"/>
          <w:color w:val="C45911" w:themeColor="accent2" w:themeShade="BF"/>
        </w:rPr>
        <w:t>Fraudes (non exhaustif)</w:t>
      </w:r>
    </w:p>
    <w:p w14:paraId="5C196DE5" w14:textId="77777777" w:rsidR="00582498" w:rsidRPr="003E58C5" w:rsidRDefault="00582498" w:rsidP="003E58C5">
      <w:pPr>
        <w:shd w:val="clear" w:color="auto" w:fill="FFFFFF"/>
        <w:spacing w:after="0" w:line="240" w:lineRule="auto"/>
        <w:ind w:left="142"/>
        <w:rPr>
          <w:rFonts w:ascii="Tenorite" w:eastAsia="Times New Roman" w:hAnsi="Tenorite" w:cs="Times New Roman"/>
          <w:color w:val="636363"/>
          <w:lang w:eastAsia="fr-FR"/>
        </w:rPr>
      </w:pPr>
      <w:r w:rsidRPr="003E58C5">
        <w:rPr>
          <w:rFonts w:ascii="Tenorite" w:hAnsi="Tenorite"/>
        </w:rPr>
        <w:t xml:space="preserve">Newsletter </w:t>
      </w:r>
      <w:hyperlink r:id="rId30" w:history="1">
        <w:proofErr w:type="gramStart"/>
        <w:r w:rsidRPr="003E58C5">
          <w:rPr>
            <w:rStyle w:val="Lienhypertexte"/>
            <w:rFonts w:ascii="Tenorite" w:hAnsi="Tenorite"/>
          </w:rPr>
          <w:t>Janvier</w:t>
        </w:r>
        <w:proofErr w:type="gramEnd"/>
        <w:r w:rsidRPr="003E58C5">
          <w:rPr>
            <w:rStyle w:val="Lienhypertexte"/>
            <w:rFonts w:ascii="Tenorite" w:hAnsi="Tenorite"/>
          </w:rPr>
          <w:t xml:space="preserve"> 2025</w:t>
        </w:r>
      </w:hyperlink>
      <w:r w:rsidRPr="003E58C5">
        <w:rPr>
          <w:rFonts w:ascii="Tenorite" w:hAnsi="Tenorite"/>
        </w:rPr>
        <w:t>, Fraudes alimentaires, Commission européenne</w:t>
      </w:r>
    </w:p>
    <w:p w14:paraId="664C41CE" w14:textId="77777777" w:rsidR="00F74CE4" w:rsidRPr="003E58C5" w:rsidRDefault="00F74CE4" w:rsidP="003E58C5">
      <w:pPr>
        <w:spacing w:after="0" w:line="240" w:lineRule="auto"/>
        <w:ind w:left="142"/>
        <w:rPr>
          <w:rFonts w:ascii="Tenorite" w:hAnsi="Tenorite"/>
          <w:color w:val="C45911" w:themeColor="accent2" w:themeShade="BF"/>
        </w:rPr>
      </w:pPr>
    </w:p>
    <w:p w14:paraId="60549313" w14:textId="77777777" w:rsidR="001B42BB" w:rsidRPr="002D18D8" w:rsidRDefault="001B42BB" w:rsidP="002D18D8">
      <w:pPr>
        <w:spacing w:after="0" w:line="240" w:lineRule="auto"/>
        <w:ind w:left="142"/>
        <w:rPr>
          <w:rFonts w:ascii="Tenorite" w:hAnsi="Tenorite"/>
          <w:color w:val="C45911" w:themeColor="accent2" w:themeShade="BF"/>
          <w:sz w:val="20"/>
        </w:rPr>
      </w:pPr>
    </w:p>
    <w:p w14:paraId="5417E9F6" w14:textId="6E2A768A" w:rsidR="002B7CB6" w:rsidRPr="002D18D8" w:rsidRDefault="002B7CB6" w:rsidP="002D18D8">
      <w:pPr>
        <w:shd w:val="clear" w:color="auto" w:fill="D9D9D9" w:themeFill="background1" w:themeFillShade="D9"/>
        <w:spacing w:after="0" w:line="240" w:lineRule="auto"/>
        <w:ind w:left="142"/>
        <w:rPr>
          <w:rFonts w:ascii="Tenorite" w:hAnsi="Tenorite"/>
          <w:b/>
          <w:color w:val="833C0B" w:themeColor="accent2" w:themeShade="80"/>
          <w:sz w:val="24"/>
        </w:rPr>
      </w:pPr>
      <w:r w:rsidRPr="002D18D8">
        <w:rPr>
          <w:rFonts w:ascii="Tenorite" w:hAnsi="Tenorite"/>
          <w:b/>
          <w:color w:val="833C0B" w:themeColor="accent2" w:themeShade="80"/>
          <w:sz w:val="24"/>
        </w:rPr>
        <w:t>MARCHES (importation, modalités de commercialisation</w:t>
      </w:r>
      <w:r w:rsidR="00767DBA" w:rsidRPr="002D18D8">
        <w:rPr>
          <w:rFonts w:ascii="Tenorite" w:hAnsi="Tenorite"/>
          <w:b/>
          <w:color w:val="833C0B" w:themeColor="accent2" w:themeShade="80"/>
          <w:sz w:val="24"/>
        </w:rPr>
        <w:t>, exportation</w:t>
      </w:r>
      <w:r w:rsidRPr="002D18D8">
        <w:rPr>
          <w:rFonts w:ascii="Tenorite" w:hAnsi="Tenorite"/>
          <w:b/>
          <w:color w:val="833C0B" w:themeColor="accent2" w:themeShade="80"/>
          <w:sz w:val="24"/>
        </w:rPr>
        <w:t>)</w:t>
      </w:r>
    </w:p>
    <w:p w14:paraId="440D7C32" w14:textId="4366C353" w:rsidR="00767DBA" w:rsidRPr="003E58C5" w:rsidRDefault="00767DBA" w:rsidP="002D18D8">
      <w:pPr>
        <w:spacing w:after="0" w:line="240" w:lineRule="auto"/>
        <w:ind w:left="142"/>
        <w:rPr>
          <w:rFonts w:ascii="Tenorite" w:hAnsi="Tenorite"/>
        </w:rPr>
      </w:pPr>
      <w:r w:rsidRPr="003E58C5">
        <w:rPr>
          <w:rFonts w:ascii="Tenorite" w:hAnsi="Tenorite"/>
          <w:color w:val="C45911" w:themeColor="accent2" w:themeShade="BF"/>
        </w:rPr>
        <w:t>Exportation</w:t>
      </w:r>
      <w:r w:rsidR="00E92909">
        <w:rPr>
          <w:rFonts w:ascii="Tenorite" w:hAnsi="Tenorite"/>
          <w:color w:val="C45911" w:themeColor="accent2" w:themeShade="BF"/>
        </w:rPr>
        <w:t xml:space="preserve"> /</w:t>
      </w:r>
    </w:p>
    <w:p w14:paraId="5ABC6969" w14:textId="624EE8CB" w:rsidR="00767DBA" w:rsidRPr="003E58C5" w:rsidRDefault="00767DBA" w:rsidP="002D18D8">
      <w:pPr>
        <w:spacing w:after="0" w:line="240" w:lineRule="auto"/>
        <w:ind w:left="142"/>
        <w:rPr>
          <w:rFonts w:ascii="Tenorite" w:hAnsi="Tenorite"/>
        </w:rPr>
      </w:pPr>
      <w:r w:rsidRPr="003E58C5">
        <w:rPr>
          <w:rFonts w:ascii="Tenorite" w:hAnsi="Tenorite"/>
          <w:color w:val="C45911" w:themeColor="accent2" w:themeShade="BF"/>
        </w:rPr>
        <w:t>Importation</w:t>
      </w:r>
      <w:r w:rsidR="00E92909">
        <w:rPr>
          <w:rFonts w:ascii="Tenorite" w:hAnsi="Tenorite"/>
        </w:rPr>
        <w:t xml:space="preserve"> /</w:t>
      </w:r>
    </w:p>
    <w:p w14:paraId="32A03A3F" w14:textId="77777777" w:rsidR="00F74CE4" w:rsidRPr="002D18D8" w:rsidRDefault="00F74CE4" w:rsidP="002D18D8">
      <w:pPr>
        <w:spacing w:after="0" w:line="240" w:lineRule="auto"/>
        <w:ind w:left="142"/>
        <w:rPr>
          <w:rFonts w:ascii="Tenorite" w:hAnsi="Tenorite"/>
          <w:color w:val="C45911" w:themeColor="accent2" w:themeShade="BF"/>
          <w:sz w:val="20"/>
        </w:rPr>
      </w:pPr>
    </w:p>
    <w:p w14:paraId="63DF5A7E" w14:textId="495779E1" w:rsidR="002B7CB6" w:rsidRPr="002D18D8" w:rsidRDefault="002B7CB6" w:rsidP="002D18D8">
      <w:pPr>
        <w:shd w:val="clear" w:color="auto" w:fill="D9D9D9" w:themeFill="background1" w:themeFillShade="D9"/>
        <w:spacing w:after="0" w:line="240" w:lineRule="auto"/>
        <w:ind w:left="142"/>
        <w:rPr>
          <w:rFonts w:ascii="Tenorite" w:hAnsi="Tenorite"/>
          <w:b/>
          <w:color w:val="833C0B" w:themeColor="accent2" w:themeShade="80"/>
          <w:sz w:val="24"/>
        </w:rPr>
      </w:pPr>
      <w:r w:rsidRPr="002D18D8">
        <w:rPr>
          <w:rFonts w:ascii="Tenorite" w:hAnsi="Tenorite"/>
          <w:b/>
          <w:color w:val="833C0B" w:themeColor="accent2" w:themeShade="80"/>
          <w:sz w:val="24"/>
        </w:rPr>
        <w:t xml:space="preserve">MATERIAUX </w:t>
      </w:r>
      <w:r w:rsidR="00767DBA" w:rsidRPr="002D18D8">
        <w:rPr>
          <w:rFonts w:ascii="Tenorite" w:hAnsi="Tenorite"/>
          <w:b/>
          <w:color w:val="833C0B" w:themeColor="accent2" w:themeShade="80"/>
          <w:sz w:val="24"/>
        </w:rPr>
        <w:t xml:space="preserve">ET OBJETS </w:t>
      </w:r>
      <w:r w:rsidRPr="002D18D8">
        <w:rPr>
          <w:rFonts w:ascii="Tenorite" w:hAnsi="Tenorite"/>
          <w:b/>
          <w:color w:val="833C0B" w:themeColor="accent2" w:themeShade="80"/>
          <w:sz w:val="24"/>
        </w:rPr>
        <w:t>AU CONTACT</w:t>
      </w:r>
    </w:p>
    <w:p w14:paraId="4FFAF5A8" w14:textId="77777777" w:rsidR="003E58C5" w:rsidRPr="003E58C5" w:rsidRDefault="003E58C5" w:rsidP="003E58C5">
      <w:pPr>
        <w:pStyle w:val="Textebrut"/>
        <w:ind w:left="142"/>
        <w:jc w:val="both"/>
        <w:rPr>
          <w:rFonts w:ascii="Tenorite" w:hAnsi="Tenorite"/>
        </w:rPr>
      </w:pPr>
      <w:hyperlink r:id="rId31" w:history="1">
        <w:r w:rsidRPr="003E58C5">
          <w:rPr>
            <w:rStyle w:val="Lienhypertexte"/>
            <w:rFonts w:ascii="Tenorite" w:hAnsi="Tenorite"/>
            <w:color w:val="auto"/>
          </w:rPr>
          <w:t>Règlement</w:t>
        </w:r>
      </w:hyperlink>
      <w:r w:rsidRPr="003E58C5">
        <w:rPr>
          <w:rFonts w:ascii="Tenorite" w:hAnsi="Tenorite"/>
        </w:rPr>
        <w:t xml:space="preserve"> (UE) 2025/351 de la Commission du 21 février 2025 modifiant le règlement (UE) no 10/2011 concernant les matériaux et objets en matière plastique destinés à entrer en contact avec des denrées alimentaires, modifiant le règlement (UE) 2022/1616 relatif aux matériaux et objets en matière plastique recyclée destinés à entrer en contact avec des denrées alimentaires et abrogeant le règlement (CE) no 282/2008, et modifiant le règlement (CE) no 2023/2006 relatif aux bonnes pratiques de fabrication des matériaux et objets destinés à entrer en contact avec des denrées alimentaires en ce qui concerne le plastique recyclé et d’autres questions liées au contrôle de la qualité et à la fabrication des matériaux et objets en matière plastique destinés à entrer en contact avec des denrées alimentaires (JOUE 24/02/2025)</w:t>
      </w:r>
    </w:p>
    <w:p w14:paraId="6A58FF82" w14:textId="03C8B2D3" w:rsidR="00767DBA" w:rsidRPr="002D18D8" w:rsidRDefault="00767DBA" w:rsidP="002D18D8">
      <w:pPr>
        <w:shd w:val="clear" w:color="auto" w:fill="D9D9D9" w:themeFill="background1" w:themeFillShade="D9"/>
        <w:spacing w:after="0" w:line="240" w:lineRule="auto"/>
        <w:ind w:left="142"/>
        <w:rPr>
          <w:rFonts w:ascii="Tenorite" w:hAnsi="Tenorite"/>
          <w:b/>
          <w:color w:val="833C0B" w:themeColor="accent2" w:themeShade="80"/>
          <w:sz w:val="24"/>
        </w:rPr>
      </w:pPr>
      <w:r w:rsidRPr="002D18D8">
        <w:rPr>
          <w:rFonts w:ascii="Tenorite" w:hAnsi="Tenorite"/>
          <w:b/>
          <w:color w:val="833C0B" w:themeColor="accent2" w:themeShade="80"/>
          <w:sz w:val="24"/>
        </w:rPr>
        <w:t>CONDITIONNEMENT - EMBALLAGE</w:t>
      </w:r>
    </w:p>
    <w:p w14:paraId="0232A8B8" w14:textId="77777777" w:rsidR="00120F64" w:rsidRPr="003E58C5" w:rsidRDefault="00120F64" w:rsidP="003E58C5">
      <w:pPr>
        <w:pStyle w:val="Textebrut"/>
        <w:ind w:left="142"/>
        <w:jc w:val="both"/>
        <w:rPr>
          <w:rFonts w:ascii="Tenorite" w:hAnsi="Tenorite"/>
        </w:rPr>
      </w:pPr>
      <w:hyperlink r:id="rId32" w:history="1">
        <w:r w:rsidRPr="003E58C5">
          <w:rPr>
            <w:rStyle w:val="Lienhypertexte"/>
            <w:rFonts w:ascii="Tenorite" w:hAnsi="Tenorite"/>
            <w:color w:val="auto"/>
          </w:rPr>
          <w:t>COMMUNICATION DE LA COMMISSION</w:t>
        </w:r>
      </w:hyperlink>
      <w:r w:rsidRPr="003E58C5">
        <w:rPr>
          <w:rFonts w:ascii="Tenorite" w:hAnsi="Tenorite"/>
        </w:rPr>
        <w:t xml:space="preserve"> — Application du règlement (UE) 2025/40 du Parlement européen et du Conseil relatif aux emballages et aux déchets d’emballages, modifiant le règlement (UE) 2019/1020 et la directive (UE) 2019/904, et abrogeant la directive 94/62/CE au Royaume-Uni et sur son territoire en ce qui concerne l’Irlande du Nord [BREXIT] (JOUE 04/02/2025)</w:t>
      </w:r>
    </w:p>
    <w:p w14:paraId="6C7F44BA" w14:textId="77777777" w:rsidR="00120F64" w:rsidRPr="003E58C5" w:rsidRDefault="00120F64" w:rsidP="003E58C5">
      <w:pPr>
        <w:pStyle w:val="Textebrut"/>
        <w:ind w:left="142"/>
        <w:jc w:val="both"/>
        <w:rPr>
          <w:rFonts w:ascii="Tenorite" w:hAnsi="Tenorite"/>
        </w:rPr>
      </w:pPr>
    </w:p>
    <w:p w14:paraId="2153F0AD" w14:textId="77777777" w:rsidR="002B7CB6" w:rsidRPr="002D18D8" w:rsidRDefault="002B7CB6" w:rsidP="002D18D8">
      <w:pPr>
        <w:shd w:val="clear" w:color="auto" w:fill="D9D9D9" w:themeFill="background1" w:themeFillShade="D9"/>
        <w:spacing w:after="0" w:line="240" w:lineRule="auto"/>
        <w:ind w:left="142"/>
        <w:rPr>
          <w:rFonts w:ascii="Tenorite" w:hAnsi="Tenorite"/>
          <w:b/>
          <w:color w:val="833C0B" w:themeColor="accent2" w:themeShade="80"/>
          <w:sz w:val="24"/>
        </w:rPr>
      </w:pPr>
      <w:r w:rsidRPr="002D18D8">
        <w:rPr>
          <w:rFonts w:ascii="Tenorite" w:hAnsi="Tenorite"/>
          <w:b/>
          <w:color w:val="833C0B" w:themeColor="accent2" w:themeShade="80"/>
          <w:sz w:val="24"/>
        </w:rPr>
        <w:t>METROLOGIE</w:t>
      </w:r>
    </w:p>
    <w:p w14:paraId="2C44D545" w14:textId="69AF0BD7" w:rsidR="001B42BB" w:rsidRDefault="003E58C5" w:rsidP="002D18D8">
      <w:pPr>
        <w:spacing w:after="0" w:line="240" w:lineRule="auto"/>
        <w:ind w:left="142"/>
        <w:rPr>
          <w:rFonts w:ascii="Tenorite" w:hAnsi="Tenorite"/>
          <w:b/>
        </w:rPr>
      </w:pPr>
      <w:r>
        <w:rPr>
          <w:rFonts w:ascii="Tenorite" w:hAnsi="Tenorite"/>
          <w:b/>
        </w:rPr>
        <w:t>/</w:t>
      </w:r>
    </w:p>
    <w:p w14:paraId="18064A2C" w14:textId="77777777" w:rsidR="003E58C5" w:rsidRPr="002D18D8" w:rsidRDefault="003E58C5" w:rsidP="002D18D8">
      <w:pPr>
        <w:spacing w:after="0" w:line="240" w:lineRule="auto"/>
        <w:ind w:left="142"/>
        <w:rPr>
          <w:rFonts w:ascii="Tenorite" w:hAnsi="Tenorite"/>
          <w:b/>
        </w:rPr>
      </w:pPr>
    </w:p>
    <w:p w14:paraId="254D792C" w14:textId="45699711" w:rsidR="00767DBA" w:rsidRPr="002D18D8" w:rsidRDefault="00767DBA" w:rsidP="002D18D8">
      <w:pPr>
        <w:shd w:val="clear" w:color="auto" w:fill="D9D9D9" w:themeFill="background1" w:themeFillShade="D9"/>
        <w:spacing w:after="0" w:line="240" w:lineRule="auto"/>
        <w:ind w:left="142"/>
        <w:rPr>
          <w:rFonts w:ascii="Tenorite" w:hAnsi="Tenorite"/>
          <w:b/>
          <w:color w:val="833C0B" w:themeColor="accent2" w:themeShade="80"/>
          <w:sz w:val="24"/>
        </w:rPr>
      </w:pPr>
      <w:r w:rsidRPr="002D18D8">
        <w:rPr>
          <w:rFonts w:ascii="Tenorite" w:hAnsi="Tenorite"/>
          <w:b/>
          <w:color w:val="833C0B" w:themeColor="accent2" w:themeShade="80"/>
          <w:sz w:val="24"/>
        </w:rPr>
        <w:t>NUTRITION – ALIMENTATION PARTICULIERE</w:t>
      </w:r>
    </w:p>
    <w:p w14:paraId="0DB89AD7" w14:textId="77777777" w:rsidR="003E58C5" w:rsidRPr="003E58C5" w:rsidRDefault="00582498" w:rsidP="003E58C5">
      <w:pPr>
        <w:pStyle w:val="Titre3"/>
        <w:shd w:val="clear" w:color="auto" w:fill="FFFFFF"/>
        <w:spacing w:before="0" w:beforeAutospacing="0" w:after="0" w:afterAutospacing="0"/>
        <w:ind w:left="142"/>
        <w:jc w:val="both"/>
        <w:rPr>
          <w:rFonts w:ascii="Tenorite" w:hAnsi="Tenorite" w:cs="Arial"/>
          <w:b w:val="0"/>
          <w:bCs w:val="0"/>
          <w:iCs/>
          <w:color w:val="C00000"/>
          <w:sz w:val="22"/>
          <w:szCs w:val="22"/>
          <w:u w:val="single"/>
        </w:rPr>
      </w:pPr>
      <w:hyperlink r:id="rId33" w:tgtFrame="_blank" w:history="1">
        <w:r w:rsidRPr="003E58C5">
          <w:rPr>
            <w:rFonts w:ascii="Tenorite" w:hAnsi="Tenorite" w:cs="Arial"/>
            <w:b w:val="0"/>
            <w:bCs w:val="0"/>
            <w:iCs/>
            <w:color w:val="C00000"/>
            <w:sz w:val="22"/>
            <w:szCs w:val="22"/>
            <w:u w:val="single"/>
          </w:rPr>
          <w:t>Avis relatif à l'évaluation des seuils maximaux recommandés d'ajout de sel, de sucre et de matière grasse dans les fruits, légumes et produits laitiers distribués dans le cadre du programme européen « Fruits et Légumes à l'École » et « Lait et Produits laitiers à l’École ».</w:t>
        </w:r>
      </w:hyperlink>
      <w:r w:rsidRPr="003E58C5">
        <w:rPr>
          <w:rFonts w:ascii="Tenorite" w:hAnsi="Tenorite" w:cs="Arial"/>
          <w:b w:val="0"/>
          <w:bCs w:val="0"/>
          <w:iCs/>
          <w:color w:val="C00000"/>
          <w:sz w:val="22"/>
          <w:szCs w:val="22"/>
          <w:u w:val="single"/>
        </w:rPr>
        <w:t xml:space="preserve"> – avis signé le 21/01/2025</w:t>
      </w:r>
    </w:p>
    <w:p w14:paraId="50F1FA90" w14:textId="77777777" w:rsidR="00582498" w:rsidRPr="002D18D8" w:rsidRDefault="00582498" w:rsidP="003E58C5">
      <w:pPr>
        <w:pStyle w:val="Textebrut"/>
        <w:ind w:left="142"/>
        <w:jc w:val="both"/>
        <w:rPr>
          <w:rFonts w:ascii="Tenorite" w:eastAsia="Calibri" w:hAnsi="Tenorite" w:cs="Arial"/>
          <w:color w:val="3C3C3C"/>
          <w:szCs w:val="22"/>
        </w:rPr>
      </w:pPr>
    </w:p>
    <w:p w14:paraId="6E265966" w14:textId="77777777" w:rsidR="00582498" w:rsidRPr="002D18D8" w:rsidRDefault="00582498" w:rsidP="003E58C5">
      <w:pPr>
        <w:pStyle w:val="Textebrut"/>
        <w:ind w:left="142"/>
        <w:jc w:val="both"/>
        <w:rPr>
          <w:rFonts w:ascii="Tenorite" w:hAnsi="Tenorite"/>
        </w:rPr>
      </w:pPr>
      <w:hyperlink r:id="rId34" w:history="1">
        <w:r w:rsidRPr="002D18D8">
          <w:rPr>
            <w:rStyle w:val="Lienhypertexte"/>
            <w:rFonts w:ascii="Tenorite" w:eastAsia="Calibri" w:hAnsi="Tenorite" w:cs="Arial"/>
            <w:szCs w:val="22"/>
          </w:rPr>
          <w:t>Règlement</w:t>
        </w:r>
      </w:hyperlink>
      <w:r w:rsidRPr="002D18D8">
        <w:rPr>
          <w:rFonts w:ascii="Tenorite" w:eastAsia="Calibri" w:hAnsi="Tenorite" w:cs="Arial"/>
          <w:color w:val="3C3C3C"/>
          <w:szCs w:val="22"/>
        </w:rPr>
        <w:t xml:space="preserve"> (UE) 2025/350 de la Commission du 21 février 2025 refusant d’autoriser une allégation de santé portant sur les denrées alimentaires, autre que celles faisant référence à la réduction d’un risque de maladie ainsi qu’au développement et à la santé infantiles (JOUE 24/02/2025)</w:t>
      </w:r>
    </w:p>
    <w:p w14:paraId="3F016720" w14:textId="77777777" w:rsidR="00AB53A2" w:rsidRPr="002D18D8" w:rsidRDefault="00AB53A2" w:rsidP="002D18D8">
      <w:pPr>
        <w:spacing w:after="0" w:line="240" w:lineRule="auto"/>
        <w:ind w:left="142"/>
        <w:jc w:val="both"/>
        <w:rPr>
          <w:rFonts w:ascii="Tenorite" w:hAnsi="Tenorite" w:cs="Arial"/>
          <w:color w:val="C00000"/>
          <w:sz w:val="20"/>
          <w:szCs w:val="20"/>
        </w:rPr>
      </w:pPr>
    </w:p>
    <w:p w14:paraId="67B68949" w14:textId="77777777" w:rsidR="002B7CB6" w:rsidRPr="002D18D8" w:rsidRDefault="002B7CB6" w:rsidP="002D18D8">
      <w:pPr>
        <w:shd w:val="clear" w:color="auto" w:fill="D9D9D9" w:themeFill="background1" w:themeFillShade="D9"/>
        <w:spacing w:after="0" w:line="240" w:lineRule="auto"/>
        <w:ind w:left="142"/>
        <w:rPr>
          <w:rFonts w:ascii="Tenorite" w:hAnsi="Tenorite"/>
          <w:b/>
          <w:color w:val="833C0B" w:themeColor="accent2" w:themeShade="80"/>
          <w:sz w:val="24"/>
        </w:rPr>
      </w:pPr>
      <w:r w:rsidRPr="002D18D8">
        <w:rPr>
          <w:rFonts w:ascii="Tenorite" w:hAnsi="Tenorite"/>
          <w:b/>
          <w:color w:val="833C0B" w:themeColor="accent2" w:themeShade="80"/>
          <w:sz w:val="24"/>
        </w:rPr>
        <w:t>OGM</w:t>
      </w:r>
    </w:p>
    <w:p w14:paraId="60BDB1D3" w14:textId="3B29755F" w:rsidR="001B42BB" w:rsidRDefault="003E58C5" w:rsidP="002D18D8">
      <w:pPr>
        <w:spacing w:after="0" w:line="240" w:lineRule="auto"/>
        <w:ind w:left="142"/>
        <w:rPr>
          <w:rFonts w:ascii="Tenorite" w:hAnsi="Tenorite"/>
          <w:b/>
        </w:rPr>
      </w:pPr>
      <w:r>
        <w:rPr>
          <w:rFonts w:ascii="Tenorite" w:hAnsi="Tenorite"/>
          <w:b/>
        </w:rPr>
        <w:t>/</w:t>
      </w:r>
    </w:p>
    <w:p w14:paraId="1078B048" w14:textId="77777777" w:rsidR="003E58C5" w:rsidRPr="002D18D8" w:rsidRDefault="003E58C5" w:rsidP="002D18D8">
      <w:pPr>
        <w:spacing w:after="0" w:line="240" w:lineRule="auto"/>
        <w:ind w:left="142"/>
        <w:rPr>
          <w:rFonts w:ascii="Tenorite" w:hAnsi="Tenorite"/>
          <w:b/>
        </w:rPr>
      </w:pPr>
    </w:p>
    <w:p w14:paraId="685BD29A" w14:textId="48D81777" w:rsidR="002B7CB6" w:rsidRPr="002D18D8" w:rsidRDefault="00767DBA" w:rsidP="002D18D8">
      <w:pPr>
        <w:shd w:val="clear" w:color="auto" w:fill="D9D9D9" w:themeFill="background1" w:themeFillShade="D9"/>
        <w:spacing w:after="0" w:line="240" w:lineRule="auto"/>
        <w:ind w:left="142"/>
        <w:rPr>
          <w:rFonts w:ascii="Tenorite" w:hAnsi="Tenorite"/>
          <w:b/>
          <w:color w:val="833C0B" w:themeColor="accent2" w:themeShade="80"/>
          <w:sz w:val="24"/>
        </w:rPr>
      </w:pPr>
      <w:r w:rsidRPr="002D18D8">
        <w:rPr>
          <w:rFonts w:ascii="Tenorite" w:hAnsi="Tenorite"/>
          <w:b/>
          <w:color w:val="833C0B" w:themeColor="accent2" w:themeShade="80"/>
          <w:sz w:val="24"/>
        </w:rPr>
        <w:t xml:space="preserve">PRODUITS BIOLOGIQUES </w:t>
      </w:r>
    </w:p>
    <w:p w14:paraId="06697625" w14:textId="445835DA" w:rsidR="001B42BB" w:rsidRPr="002D18D8" w:rsidRDefault="003E58C5" w:rsidP="002D18D8">
      <w:pPr>
        <w:spacing w:after="0" w:line="240" w:lineRule="auto"/>
        <w:ind w:left="142"/>
        <w:rPr>
          <w:rFonts w:ascii="Tenorite" w:hAnsi="Tenorite"/>
          <w:color w:val="C45911" w:themeColor="accent2" w:themeShade="BF"/>
          <w:sz w:val="20"/>
        </w:rPr>
      </w:pPr>
      <w:r>
        <w:rPr>
          <w:rFonts w:ascii="Tenorite" w:hAnsi="Tenorite"/>
          <w:color w:val="C45911" w:themeColor="accent2" w:themeShade="BF"/>
          <w:sz w:val="20"/>
        </w:rPr>
        <w:t>/</w:t>
      </w:r>
    </w:p>
    <w:p w14:paraId="54E176FF" w14:textId="679FF40F" w:rsidR="00767DBA" w:rsidRPr="002D18D8" w:rsidRDefault="00767DBA" w:rsidP="002D18D8">
      <w:pPr>
        <w:shd w:val="clear" w:color="auto" w:fill="D9D9D9" w:themeFill="background1" w:themeFillShade="D9"/>
        <w:spacing w:after="0" w:line="240" w:lineRule="auto"/>
        <w:ind w:left="142"/>
        <w:rPr>
          <w:rFonts w:ascii="Tenorite" w:hAnsi="Tenorite"/>
          <w:b/>
          <w:color w:val="833C0B" w:themeColor="accent2" w:themeShade="80"/>
          <w:sz w:val="24"/>
        </w:rPr>
      </w:pPr>
      <w:r w:rsidRPr="002D18D8">
        <w:rPr>
          <w:rFonts w:ascii="Tenorite" w:hAnsi="Tenorite"/>
          <w:b/>
          <w:color w:val="833C0B" w:themeColor="accent2" w:themeShade="80"/>
          <w:sz w:val="24"/>
        </w:rPr>
        <w:t>SIGNES OFFICIELS DE QUALITE</w:t>
      </w:r>
    </w:p>
    <w:p w14:paraId="36150596" w14:textId="77777777" w:rsidR="00120F64" w:rsidRPr="002D18D8" w:rsidRDefault="00120F64" w:rsidP="003E58C5">
      <w:pPr>
        <w:pStyle w:val="Textebrut"/>
        <w:ind w:left="142"/>
        <w:jc w:val="both"/>
        <w:rPr>
          <w:rFonts w:ascii="Tenorite" w:hAnsi="Tenorite"/>
        </w:rPr>
      </w:pPr>
      <w:hyperlink r:id="rId35" w:history="1">
        <w:r w:rsidRPr="002D18D8">
          <w:rPr>
            <w:rStyle w:val="Lienhypertexte"/>
            <w:rFonts w:ascii="Tenorite" w:hAnsi="Tenorite"/>
          </w:rPr>
          <w:t>Arrêté</w:t>
        </w:r>
      </w:hyperlink>
      <w:r w:rsidRPr="002D18D8">
        <w:rPr>
          <w:rFonts w:ascii="Tenorite" w:hAnsi="Tenorite"/>
        </w:rPr>
        <w:t xml:space="preserve"> du 4 décembre 2024 modifiant l'arrêté du 26 mai 2006 relatif à la procédure d'attribution du label « entreprise du patrimoine vivant » (JORF 13/02/2025)</w:t>
      </w:r>
    </w:p>
    <w:p w14:paraId="004E32DE" w14:textId="77777777" w:rsidR="005F3EA3" w:rsidRPr="002D18D8" w:rsidRDefault="005F3EA3" w:rsidP="002D18D8">
      <w:pPr>
        <w:spacing w:after="0" w:line="240" w:lineRule="auto"/>
        <w:ind w:left="142"/>
        <w:rPr>
          <w:rFonts w:ascii="Tenorite" w:hAnsi="Tenorite"/>
          <w:b/>
        </w:rPr>
      </w:pPr>
    </w:p>
    <w:p w14:paraId="415BEA78" w14:textId="5E38E507" w:rsidR="002B7CB6" w:rsidRPr="002D18D8" w:rsidRDefault="002B7CB6" w:rsidP="002D18D8">
      <w:pPr>
        <w:shd w:val="clear" w:color="auto" w:fill="D9D9D9" w:themeFill="background1" w:themeFillShade="D9"/>
        <w:spacing w:after="0" w:line="240" w:lineRule="auto"/>
        <w:ind w:left="142"/>
        <w:rPr>
          <w:rFonts w:ascii="Tenorite" w:hAnsi="Tenorite"/>
          <w:b/>
          <w:color w:val="833C0B" w:themeColor="accent2" w:themeShade="80"/>
          <w:sz w:val="24"/>
        </w:rPr>
      </w:pPr>
      <w:r w:rsidRPr="002D18D8">
        <w:rPr>
          <w:rFonts w:ascii="Tenorite" w:hAnsi="Tenorite"/>
          <w:b/>
          <w:color w:val="833C0B" w:themeColor="accent2" w:themeShade="80"/>
          <w:sz w:val="24"/>
        </w:rPr>
        <w:t>TRAITEMENT</w:t>
      </w:r>
      <w:r w:rsidR="00767DBA" w:rsidRPr="002D18D8">
        <w:rPr>
          <w:rFonts w:ascii="Tenorite" w:hAnsi="Tenorite"/>
          <w:b/>
          <w:color w:val="833C0B" w:themeColor="accent2" w:themeShade="80"/>
          <w:sz w:val="24"/>
        </w:rPr>
        <w:t xml:space="preserve"> DES DENREES ALIM</w:t>
      </w:r>
      <w:r w:rsidR="003060EC" w:rsidRPr="002D18D8">
        <w:rPr>
          <w:rFonts w:ascii="Tenorite" w:hAnsi="Tenorite"/>
          <w:b/>
          <w:color w:val="833C0B" w:themeColor="accent2" w:themeShade="80"/>
          <w:sz w:val="24"/>
        </w:rPr>
        <w:t>E</w:t>
      </w:r>
      <w:r w:rsidR="00767DBA" w:rsidRPr="002D18D8">
        <w:rPr>
          <w:rFonts w:ascii="Tenorite" w:hAnsi="Tenorite"/>
          <w:b/>
          <w:color w:val="833C0B" w:themeColor="accent2" w:themeShade="80"/>
          <w:sz w:val="24"/>
        </w:rPr>
        <w:t xml:space="preserve">NTAIRES </w:t>
      </w:r>
    </w:p>
    <w:p w14:paraId="7E3ECBE4" w14:textId="73EA5065" w:rsidR="001B42BB" w:rsidRPr="00E92909" w:rsidRDefault="002B7CB6" w:rsidP="002D18D8">
      <w:pPr>
        <w:spacing w:after="0" w:line="240" w:lineRule="auto"/>
        <w:ind w:left="142"/>
        <w:rPr>
          <w:rFonts w:ascii="Tenorite" w:hAnsi="Tenorite"/>
          <w:color w:val="C45911" w:themeColor="accent2" w:themeShade="BF"/>
          <w:szCs w:val="24"/>
        </w:rPr>
      </w:pPr>
      <w:r w:rsidRPr="00E92909">
        <w:rPr>
          <w:rFonts w:ascii="Tenorite" w:hAnsi="Tenorite"/>
          <w:color w:val="C45911" w:themeColor="accent2" w:themeShade="BF"/>
          <w:szCs w:val="24"/>
        </w:rPr>
        <w:t>Fumigation</w:t>
      </w:r>
      <w:r w:rsidR="00E92909">
        <w:rPr>
          <w:rFonts w:ascii="Tenorite" w:hAnsi="Tenorite"/>
          <w:color w:val="C45911" w:themeColor="accent2" w:themeShade="BF"/>
          <w:szCs w:val="24"/>
        </w:rPr>
        <w:t xml:space="preserve"> /</w:t>
      </w:r>
    </w:p>
    <w:p w14:paraId="4A20E2E9" w14:textId="52680255" w:rsidR="001B42BB" w:rsidRPr="00E92909" w:rsidRDefault="002B7CB6" w:rsidP="002D18D8">
      <w:pPr>
        <w:spacing w:after="0" w:line="240" w:lineRule="auto"/>
        <w:ind w:left="142"/>
        <w:rPr>
          <w:rFonts w:ascii="Tenorite" w:hAnsi="Tenorite"/>
          <w:color w:val="C45911" w:themeColor="accent2" w:themeShade="BF"/>
          <w:szCs w:val="24"/>
        </w:rPr>
      </w:pPr>
      <w:r w:rsidRPr="00E92909">
        <w:rPr>
          <w:rFonts w:ascii="Tenorite" w:hAnsi="Tenorite"/>
          <w:color w:val="C45911" w:themeColor="accent2" w:themeShade="BF"/>
          <w:szCs w:val="24"/>
        </w:rPr>
        <w:t>Ionisation</w:t>
      </w:r>
      <w:r w:rsidR="00E92909">
        <w:rPr>
          <w:rFonts w:ascii="Tenorite" w:hAnsi="Tenorite"/>
          <w:color w:val="C45911" w:themeColor="accent2" w:themeShade="BF"/>
          <w:szCs w:val="24"/>
        </w:rPr>
        <w:t xml:space="preserve"> /</w:t>
      </w:r>
    </w:p>
    <w:p w14:paraId="6AADF2DD" w14:textId="3CF21C76" w:rsidR="001B42BB" w:rsidRPr="00E92909" w:rsidRDefault="002B7CB6" w:rsidP="002D18D8">
      <w:pPr>
        <w:spacing w:after="0" w:line="240" w:lineRule="auto"/>
        <w:ind w:left="142"/>
        <w:rPr>
          <w:rFonts w:ascii="Tenorite" w:hAnsi="Tenorite"/>
          <w:color w:val="C45911" w:themeColor="accent2" w:themeShade="BF"/>
          <w:szCs w:val="24"/>
        </w:rPr>
      </w:pPr>
      <w:r w:rsidRPr="00E92909">
        <w:rPr>
          <w:rFonts w:ascii="Tenorite" w:hAnsi="Tenorite"/>
          <w:color w:val="C45911" w:themeColor="accent2" w:themeShade="BF"/>
          <w:szCs w:val="24"/>
        </w:rPr>
        <w:t>Lyophilisation</w:t>
      </w:r>
      <w:r w:rsidR="00E92909">
        <w:rPr>
          <w:rFonts w:ascii="Tenorite" w:hAnsi="Tenorite"/>
          <w:color w:val="C45911" w:themeColor="accent2" w:themeShade="BF"/>
          <w:szCs w:val="24"/>
        </w:rPr>
        <w:t xml:space="preserve"> /</w:t>
      </w:r>
      <w:r w:rsidRPr="00E92909">
        <w:rPr>
          <w:rFonts w:ascii="Tenorite" w:hAnsi="Tenorite"/>
          <w:color w:val="C45911" w:themeColor="accent2" w:themeShade="BF"/>
          <w:szCs w:val="24"/>
        </w:rPr>
        <w:t xml:space="preserve">  </w:t>
      </w:r>
    </w:p>
    <w:p w14:paraId="2E4AE98B" w14:textId="7A3ED4E8" w:rsidR="001B42BB" w:rsidRPr="00E92909" w:rsidRDefault="002B7CB6" w:rsidP="002D18D8">
      <w:pPr>
        <w:spacing w:after="0" w:line="240" w:lineRule="auto"/>
        <w:ind w:left="142"/>
        <w:rPr>
          <w:rFonts w:ascii="Tenorite" w:hAnsi="Tenorite"/>
          <w:color w:val="C45911" w:themeColor="accent2" w:themeShade="BF"/>
          <w:szCs w:val="24"/>
        </w:rPr>
      </w:pPr>
      <w:r w:rsidRPr="00E92909">
        <w:rPr>
          <w:rFonts w:ascii="Tenorite" w:hAnsi="Tenorite"/>
          <w:color w:val="C45911" w:themeColor="accent2" w:themeShade="BF"/>
          <w:szCs w:val="24"/>
        </w:rPr>
        <w:t>Surgélation</w:t>
      </w:r>
      <w:r w:rsidR="00E92909">
        <w:rPr>
          <w:rFonts w:ascii="Tenorite" w:hAnsi="Tenorite"/>
          <w:color w:val="C45911" w:themeColor="accent2" w:themeShade="BF"/>
          <w:szCs w:val="24"/>
        </w:rPr>
        <w:t xml:space="preserve"> /</w:t>
      </w:r>
    </w:p>
    <w:p w14:paraId="4D64EE6C" w14:textId="77777777" w:rsidR="00E92909" w:rsidRDefault="00E92909" w:rsidP="002D18D8">
      <w:pPr>
        <w:tabs>
          <w:tab w:val="left" w:pos="4785"/>
        </w:tabs>
        <w:spacing w:after="0" w:line="240" w:lineRule="auto"/>
        <w:ind w:left="142"/>
        <w:rPr>
          <w:rFonts w:ascii="Tenorite" w:hAnsi="Tenorite"/>
        </w:rPr>
      </w:pPr>
    </w:p>
    <w:p w14:paraId="1E5F8825" w14:textId="77777777" w:rsidR="00E92909" w:rsidRDefault="00E92909" w:rsidP="002D18D8">
      <w:pPr>
        <w:tabs>
          <w:tab w:val="left" w:pos="4785"/>
        </w:tabs>
        <w:spacing w:after="0" w:line="240" w:lineRule="auto"/>
        <w:ind w:left="142"/>
        <w:rPr>
          <w:rFonts w:ascii="Tenorite" w:hAnsi="Tenorite"/>
        </w:rPr>
      </w:pPr>
    </w:p>
    <w:p w14:paraId="72ACAB2C" w14:textId="341B8239" w:rsidR="00D025D4" w:rsidRPr="002D18D8" w:rsidRDefault="00D025D4" w:rsidP="002D18D8">
      <w:pPr>
        <w:tabs>
          <w:tab w:val="left" w:pos="4785"/>
        </w:tabs>
        <w:spacing w:after="0" w:line="240" w:lineRule="auto"/>
        <w:ind w:left="142"/>
        <w:rPr>
          <w:rFonts w:ascii="Tenorite" w:hAnsi="Tenorite"/>
        </w:rPr>
      </w:pPr>
      <w:r w:rsidRPr="002D18D8">
        <w:rPr>
          <w:rFonts w:ascii="Tenorite" w:hAnsi="Tenorite"/>
        </w:rPr>
        <w:tab/>
      </w:r>
    </w:p>
    <w:p w14:paraId="652FAA4C" w14:textId="77777777" w:rsidR="00D025D4" w:rsidRPr="002D18D8" w:rsidRDefault="00D025D4" w:rsidP="002D18D8">
      <w:pPr>
        <w:spacing w:after="0" w:line="240" w:lineRule="auto"/>
        <w:ind w:left="142"/>
        <w:rPr>
          <w:rFonts w:ascii="Tenorite" w:hAnsi="Tenorite" w:cs="Tahoma"/>
          <w:b/>
          <w:color w:val="EF671A"/>
          <w:sz w:val="8"/>
          <w:szCs w:val="8"/>
          <w:u w:val="single"/>
        </w:rPr>
      </w:pPr>
    </w:p>
    <w:p w14:paraId="70A5146D" w14:textId="77777777" w:rsidR="00D025D4" w:rsidRPr="002D18D8" w:rsidRDefault="00D025D4" w:rsidP="002D18D8">
      <w:pPr>
        <w:spacing w:after="0" w:line="240" w:lineRule="auto"/>
        <w:ind w:left="142"/>
        <w:rPr>
          <w:rFonts w:ascii="Tenorite" w:hAnsi="Tenorite" w:cs="Tahoma"/>
          <w:b/>
          <w:color w:val="EF671A"/>
          <w:sz w:val="24"/>
          <w:szCs w:val="24"/>
          <w:u w:val="single"/>
        </w:rPr>
      </w:pPr>
      <w:r w:rsidRPr="002D18D8">
        <w:rPr>
          <w:rFonts w:ascii="Tenorite" w:hAnsi="Tenorite" w:cs="Tahoma"/>
          <w:b/>
          <w:color w:val="EF671A"/>
          <w:sz w:val="32"/>
          <w:szCs w:val="32"/>
          <w:u w:val="single"/>
        </w:rPr>
        <w:t>Partie 2 : Règlementation verticale</w:t>
      </w:r>
      <w:r w:rsidRPr="002D18D8">
        <w:rPr>
          <w:rFonts w:ascii="Tenorite" w:hAnsi="Tenorite" w:cs="Tahoma"/>
          <w:b/>
          <w:color w:val="EF671A"/>
          <w:sz w:val="32"/>
          <w:szCs w:val="32"/>
        </w:rPr>
        <w:t xml:space="preserve"> : </w:t>
      </w:r>
      <w:r w:rsidRPr="002D18D8">
        <w:rPr>
          <w:rFonts w:ascii="Tenorite" w:hAnsi="Tenorite" w:cs="Tahoma"/>
          <w:b/>
          <w:color w:val="EF671A"/>
          <w:sz w:val="24"/>
          <w:szCs w:val="24"/>
        </w:rPr>
        <w:t>Secteurs d’activité (Matières traitées et produits finis)</w:t>
      </w:r>
    </w:p>
    <w:p w14:paraId="227D4157" w14:textId="2F88B25E" w:rsidR="00D025D4" w:rsidRPr="002D18D8" w:rsidRDefault="00E464D9" w:rsidP="002D18D8">
      <w:pPr>
        <w:shd w:val="clear" w:color="auto" w:fill="D9D9D9" w:themeFill="background1" w:themeFillShade="D9"/>
        <w:spacing w:after="0" w:line="240" w:lineRule="auto"/>
        <w:ind w:left="142"/>
        <w:rPr>
          <w:rFonts w:ascii="Tenorite" w:hAnsi="Tenorite"/>
          <w:b/>
          <w:color w:val="833C0B" w:themeColor="accent2" w:themeShade="80"/>
          <w:sz w:val="24"/>
          <w:szCs w:val="24"/>
        </w:rPr>
      </w:pPr>
      <w:r w:rsidRPr="002D18D8">
        <w:rPr>
          <w:rFonts w:ascii="Tenorite" w:hAnsi="Tenorite"/>
          <w:b/>
          <w:color w:val="833C0B" w:themeColor="accent2" w:themeShade="80"/>
          <w:sz w:val="24"/>
          <w:szCs w:val="24"/>
        </w:rPr>
        <w:t>CEREALES ET PRODUITS DU GRAIN</w:t>
      </w:r>
    </w:p>
    <w:p w14:paraId="5528EBC8" w14:textId="61E46650" w:rsidR="00E464D9" w:rsidRPr="003E58C5" w:rsidRDefault="00E464D9" w:rsidP="002D18D8">
      <w:pPr>
        <w:spacing w:after="0" w:line="240" w:lineRule="auto"/>
        <w:ind w:left="142"/>
        <w:rPr>
          <w:rFonts w:ascii="Tenorite" w:hAnsi="Tenorite"/>
          <w:color w:val="C45911" w:themeColor="accent2" w:themeShade="BF"/>
          <w:szCs w:val="20"/>
        </w:rPr>
      </w:pPr>
      <w:r w:rsidRPr="003E58C5">
        <w:rPr>
          <w:rFonts w:ascii="Tenorite" w:hAnsi="Tenorite"/>
          <w:color w:val="C45911" w:themeColor="accent2" w:themeShade="BF"/>
          <w:szCs w:val="20"/>
        </w:rPr>
        <w:t>Céréales</w:t>
      </w:r>
      <w:r w:rsidR="00E92909">
        <w:rPr>
          <w:rFonts w:ascii="Tenorite" w:hAnsi="Tenorite"/>
          <w:color w:val="C45911" w:themeColor="accent2" w:themeShade="BF"/>
          <w:szCs w:val="20"/>
        </w:rPr>
        <w:t xml:space="preserve"> /</w:t>
      </w:r>
    </w:p>
    <w:p w14:paraId="1DEA3D7C" w14:textId="3C1EFB1D" w:rsidR="00E464D9" w:rsidRPr="003E58C5" w:rsidRDefault="00E464D9" w:rsidP="002D18D8">
      <w:pPr>
        <w:spacing w:after="0" w:line="240" w:lineRule="auto"/>
        <w:ind w:left="142"/>
        <w:rPr>
          <w:rFonts w:ascii="Tenorite" w:hAnsi="Tenorite"/>
          <w:color w:val="C45911" w:themeColor="accent2" w:themeShade="BF"/>
          <w:szCs w:val="20"/>
        </w:rPr>
      </w:pPr>
      <w:r w:rsidRPr="003E58C5">
        <w:rPr>
          <w:rFonts w:ascii="Tenorite" w:hAnsi="Tenorite"/>
          <w:color w:val="C45911" w:themeColor="accent2" w:themeShade="BF"/>
          <w:szCs w:val="20"/>
        </w:rPr>
        <w:t>Farines</w:t>
      </w:r>
      <w:r w:rsidR="00E92909">
        <w:rPr>
          <w:rFonts w:ascii="Tenorite" w:hAnsi="Tenorite"/>
          <w:color w:val="C45911" w:themeColor="accent2" w:themeShade="BF"/>
          <w:szCs w:val="20"/>
        </w:rPr>
        <w:t xml:space="preserve"> /</w:t>
      </w:r>
    </w:p>
    <w:p w14:paraId="3E45921E" w14:textId="52C23B94" w:rsidR="00E464D9" w:rsidRPr="003E58C5" w:rsidRDefault="00E464D9" w:rsidP="002D18D8">
      <w:pPr>
        <w:spacing w:after="0" w:line="240" w:lineRule="auto"/>
        <w:ind w:left="142"/>
        <w:rPr>
          <w:rFonts w:ascii="Tenorite" w:hAnsi="Tenorite"/>
          <w:color w:val="C45911" w:themeColor="accent2" w:themeShade="BF"/>
          <w:szCs w:val="20"/>
        </w:rPr>
      </w:pPr>
      <w:r w:rsidRPr="003E58C5">
        <w:rPr>
          <w:rFonts w:ascii="Tenorite" w:hAnsi="Tenorite"/>
          <w:color w:val="C45911" w:themeColor="accent2" w:themeShade="BF"/>
          <w:szCs w:val="20"/>
        </w:rPr>
        <w:t>Pains, viennoiseries</w:t>
      </w:r>
      <w:r w:rsidR="00E92909">
        <w:rPr>
          <w:rFonts w:ascii="Tenorite" w:hAnsi="Tenorite"/>
          <w:color w:val="C45911" w:themeColor="accent2" w:themeShade="BF"/>
          <w:szCs w:val="20"/>
        </w:rPr>
        <w:t xml:space="preserve"> /</w:t>
      </w:r>
    </w:p>
    <w:p w14:paraId="31CA8B86" w14:textId="0E645094" w:rsidR="00E464D9" w:rsidRPr="003E58C5" w:rsidRDefault="00E464D9" w:rsidP="002D18D8">
      <w:pPr>
        <w:spacing w:after="0" w:line="240" w:lineRule="auto"/>
        <w:ind w:left="142"/>
        <w:rPr>
          <w:rFonts w:ascii="Tenorite" w:hAnsi="Tenorite"/>
          <w:color w:val="C45911" w:themeColor="accent2" w:themeShade="BF"/>
          <w:szCs w:val="20"/>
        </w:rPr>
      </w:pPr>
      <w:r w:rsidRPr="003E58C5">
        <w:rPr>
          <w:rFonts w:ascii="Tenorite" w:hAnsi="Tenorite"/>
          <w:color w:val="C45911" w:themeColor="accent2" w:themeShade="BF"/>
          <w:szCs w:val="20"/>
        </w:rPr>
        <w:t>Pâtisseries</w:t>
      </w:r>
      <w:r w:rsidR="00E92909">
        <w:rPr>
          <w:rFonts w:ascii="Tenorite" w:hAnsi="Tenorite"/>
          <w:color w:val="C45911" w:themeColor="accent2" w:themeShade="BF"/>
          <w:szCs w:val="20"/>
        </w:rPr>
        <w:t xml:space="preserve"> /</w:t>
      </w:r>
    </w:p>
    <w:p w14:paraId="42576B6C" w14:textId="32A9B5CA" w:rsidR="00E464D9" w:rsidRPr="003E58C5" w:rsidRDefault="00E464D9" w:rsidP="002D18D8">
      <w:pPr>
        <w:spacing w:after="0" w:line="240" w:lineRule="auto"/>
        <w:ind w:left="142"/>
        <w:rPr>
          <w:rFonts w:ascii="Tenorite" w:hAnsi="Tenorite"/>
          <w:color w:val="C45911" w:themeColor="accent2" w:themeShade="BF"/>
          <w:szCs w:val="20"/>
        </w:rPr>
      </w:pPr>
      <w:r w:rsidRPr="003E58C5">
        <w:rPr>
          <w:rFonts w:ascii="Tenorite" w:hAnsi="Tenorite"/>
          <w:color w:val="C45911" w:themeColor="accent2" w:themeShade="BF"/>
          <w:szCs w:val="20"/>
        </w:rPr>
        <w:t>Signes officiels de qualité</w:t>
      </w:r>
      <w:r w:rsidR="00E92909">
        <w:rPr>
          <w:rFonts w:ascii="Tenorite" w:hAnsi="Tenorite"/>
          <w:color w:val="C45911" w:themeColor="accent2" w:themeShade="BF"/>
          <w:szCs w:val="20"/>
        </w:rPr>
        <w:t xml:space="preserve"> /</w:t>
      </w:r>
    </w:p>
    <w:p w14:paraId="603CD107" w14:textId="77777777" w:rsidR="00E464D9" w:rsidRPr="002D18D8" w:rsidRDefault="00E464D9" w:rsidP="002D18D8">
      <w:pPr>
        <w:spacing w:after="0" w:line="240" w:lineRule="auto"/>
        <w:ind w:left="142" w:right="-284"/>
        <w:rPr>
          <w:rFonts w:ascii="Tenorite" w:hAnsi="Tenorite"/>
          <w:color w:val="C45911" w:themeColor="accent2" w:themeShade="BF"/>
          <w:sz w:val="20"/>
          <w:szCs w:val="18"/>
        </w:rPr>
      </w:pPr>
    </w:p>
    <w:p w14:paraId="57B86A9D" w14:textId="2320FAA8" w:rsidR="00E464D9" w:rsidRPr="002D18D8" w:rsidRDefault="00E464D9" w:rsidP="002D18D8">
      <w:pPr>
        <w:shd w:val="clear" w:color="auto" w:fill="D9D9D9" w:themeFill="background1" w:themeFillShade="D9"/>
        <w:spacing w:after="0" w:line="240" w:lineRule="auto"/>
        <w:ind w:left="142"/>
        <w:rPr>
          <w:rFonts w:ascii="Tenorite" w:hAnsi="Tenorite"/>
          <w:b/>
        </w:rPr>
      </w:pPr>
      <w:r w:rsidRPr="002D18D8">
        <w:rPr>
          <w:rFonts w:ascii="Tenorite" w:hAnsi="Tenorite"/>
          <w:b/>
          <w:color w:val="833C0B" w:themeColor="accent2" w:themeShade="80"/>
          <w:sz w:val="24"/>
          <w:szCs w:val="24"/>
        </w:rPr>
        <w:t xml:space="preserve">HUILES ET CORPS GRAS </w:t>
      </w:r>
      <w:r w:rsidRPr="002D18D8">
        <w:rPr>
          <w:rFonts w:ascii="Tenorite" w:hAnsi="Tenorite"/>
          <w:b/>
        </w:rPr>
        <w:t xml:space="preserve"> </w:t>
      </w:r>
    </w:p>
    <w:p w14:paraId="6541BAAC" w14:textId="7B7C306C" w:rsidR="00E464D9" w:rsidRPr="00FD6BF4" w:rsidRDefault="00E464D9" w:rsidP="002D18D8">
      <w:pPr>
        <w:spacing w:after="0" w:line="240" w:lineRule="auto"/>
        <w:ind w:left="142" w:right="-284"/>
        <w:rPr>
          <w:rFonts w:ascii="Tenorite" w:hAnsi="Tenorite"/>
          <w:color w:val="C45911" w:themeColor="accent2" w:themeShade="BF"/>
          <w:szCs w:val="20"/>
        </w:rPr>
      </w:pPr>
      <w:r w:rsidRPr="00FD6BF4">
        <w:rPr>
          <w:rFonts w:ascii="Tenorite" w:hAnsi="Tenorite"/>
          <w:color w:val="C45911" w:themeColor="accent2" w:themeShade="BF"/>
          <w:szCs w:val="20"/>
        </w:rPr>
        <w:t>Huiles et graisses</w:t>
      </w:r>
      <w:r w:rsidR="00E92909">
        <w:rPr>
          <w:rFonts w:ascii="Tenorite" w:hAnsi="Tenorite"/>
          <w:color w:val="C45911" w:themeColor="accent2" w:themeShade="BF"/>
          <w:szCs w:val="20"/>
        </w:rPr>
        <w:t xml:space="preserve"> /</w:t>
      </w:r>
    </w:p>
    <w:p w14:paraId="77FF2622" w14:textId="77777777" w:rsidR="00E464D9" w:rsidRPr="002D18D8" w:rsidRDefault="00E464D9" w:rsidP="002D18D8">
      <w:pPr>
        <w:spacing w:after="0" w:line="240" w:lineRule="auto"/>
        <w:ind w:left="142"/>
        <w:rPr>
          <w:rFonts w:ascii="Tenorite" w:hAnsi="Tenorite"/>
          <w:b/>
        </w:rPr>
      </w:pPr>
    </w:p>
    <w:p w14:paraId="7CCFE82A" w14:textId="77777777" w:rsidR="00D025D4" w:rsidRPr="002D18D8" w:rsidRDefault="00D025D4" w:rsidP="002D18D8">
      <w:pPr>
        <w:shd w:val="clear" w:color="auto" w:fill="D9D9D9" w:themeFill="background1" w:themeFillShade="D9"/>
        <w:spacing w:after="0" w:line="240" w:lineRule="auto"/>
        <w:ind w:left="142"/>
        <w:rPr>
          <w:rFonts w:ascii="Tenorite" w:hAnsi="Tenorite"/>
          <w:b/>
        </w:rPr>
      </w:pPr>
      <w:r w:rsidRPr="002D18D8">
        <w:rPr>
          <w:rFonts w:ascii="Tenorite" w:hAnsi="Tenorite"/>
          <w:b/>
          <w:color w:val="833C0B" w:themeColor="accent2" w:themeShade="80"/>
          <w:sz w:val="24"/>
          <w:szCs w:val="24"/>
        </w:rPr>
        <w:t>LAITS ET PRODUITS LAITIERS</w:t>
      </w:r>
      <w:r w:rsidRPr="002D18D8">
        <w:rPr>
          <w:rFonts w:ascii="Tenorite" w:hAnsi="Tenorite"/>
          <w:b/>
        </w:rPr>
        <w:t xml:space="preserve"> </w:t>
      </w:r>
    </w:p>
    <w:p w14:paraId="4F0A9628" w14:textId="3B8F956F" w:rsidR="00D025D4" w:rsidRPr="00FD6BF4" w:rsidRDefault="00D025D4" w:rsidP="00FD6BF4">
      <w:pPr>
        <w:spacing w:after="0" w:line="240" w:lineRule="auto"/>
        <w:ind w:left="142"/>
        <w:jc w:val="both"/>
        <w:rPr>
          <w:rFonts w:ascii="Tenorite" w:hAnsi="Tenorite"/>
          <w:color w:val="C45911" w:themeColor="accent2" w:themeShade="BF"/>
        </w:rPr>
      </w:pPr>
      <w:r w:rsidRPr="00FD6BF4">
        <w:rPr>
          <w:rFonts w:ascii="Tenorite" w:hAnsi="Tenorite"/>
          <w:color w:val="C45911" w:themeColor="accent2" w:themeShade="BF"/>
        </w:rPr>
        <w:t>Beurre</w:t>
      </w:r>
      <w:r w:rsidR="00E92909">
        <w:rPr>
          <w:rFonts w:ascii="Tenorite" w:hAnsi="Tenorite"/>
          <w:color w:val="C45911" w:themeColor="accent2" w:themeShade="BF"/>
        </w:rPr>
        <w:t xml:space="preserve"> /</w:t>
      </w:r>
      <w:r w:rsidRPr="00FD6BF4">
        <w:rPr>
          <w:rFonts w:ascii="Tenorite" w:hAnsi="Tenorite"/>
          <w:color w:val="C45911" w:themeColor="accent2" w:themeShade="BF"/>
        </w:rPr>
        <w:tab/>
      </w:r>
    </w:p>
    <w:p w14:paraId="08F43676" w14:textId="4638B70F" w:rsidR="00D025D4" w:rsidRPr="00FD6BF4" w:rsidRDefault="00D025D4" w:rsidP="00FD6BF4">
      <w:pPr>
        <w:spacing w:after="0" w:line="240" w:lineRule="auto"/>
        <w:ind w:left="142"/>
        <w:jc w:val="both"/>
        <w:rPr>
          <w:rFonts w:ascii="Tenorite" w:hAnsi="Tenorite"/>
          <w:color w:val="C45911" w:themeColor="accent2" w:themeShade="BF"/>
        </w:rPr>
      </w:pPr>
      <w:r w:rsidRPr="00FD6BF4">
        <w:rPr>
          <w:rFonts w:ascii="Tenorite" w:hAnsi="Tenorite"/>
          <w:color w:val="C45911" w:themeColor="accent2" w:themeShade="BF"/>
        </w:rPr>
        <w:t>Lait</w:t>
      </w:r>
      <w:r w:rsidR="0012180A" w:rsidRPr="00FD6BF4">
        <w:rPr>
          <w:rFonts w:ascii="Tenorite" w:hAnsi="Tenorite"/>
          <w:color w:val="C45911" w:themeColor="accent2" w:themeShade="BF"/>
        </w:rPr>
        <w:t>, produits laitiers</w:t>
      </w:r>
      <w:r w:rsidR="00E92909">
        <w:rPr>
          <w:rFonts w:ascii="Tenorite" w:hAnsi="Tenorite"/>
          <w:color w:val="C45911" w:themeColor="accent2" w:themeShade="BF"/>
        </w:rPr>
        <w:t xml:space="preserve"> /</w:t>
      </w:r>
    </w:p>
    <w:p w14:paraId="1BD9FE19" w14:textId="35D324BD" w:rsidR="0012180A" w:rsidRPr="00FD6BF4" w:rsidRDefault="0012180A" w:rsidP="00FD6BF4">
      <w:pPr>
        <w:spacing w:after="0" w:line="240" w:lineRule="auto"/>
        <w:ind w:left="142"/>
        <w:jc w:val="both"/>
        <w:rPr>
          <w:rFonts w:ascii="Tenorite" w:hAnsi="Tenorite"/>
          <w:color w:val="C45911" w:themeColor="accent2" w:themeShade="BF"/>
        </w:rPr>
      </w:pPr>
      <w:r w:rsidRPr="00FD6BF4">
        <w:rPr>
          <w:rFonts w:ascii="Tenorite" w:hAnsi="Tenorite"/>
          <w:color w:val="C45911" w:themeColor="accent2" w:themeShade="BF"/>
        </w:rPr>
        <w:t>Signes officiels de qualité</w:t>
      </w:r>
      <w:r w:rsidR="00E92909">
        <w:rPr>
          <w:rFonts w:ascii="Tenorite" w:hAnsi="Tenorite"/>
          <w:color w:val="C45911" w:themeColor="accent2" w:themeShade="BF"/>
        </w:rPr>
        <w:t xml:space="preserve"> /</w:t>
      </w:r>
    </w:p>
    <w:p w14:paraId="34D7522B" w14:textId="77777777" w:rsidR="003060EC" w:rsidRPr="00FD6BF4" w:rsidRDefault="003060EC" w:rsidP="00FD6BF4">
      <w:pPr>
        <w:spacing w:after="0" w:line="240" w:lineRule="auto"/>
        <w:ind w:left="142"/>
        <w:jc w:val="both"/>
        <w:rPr>
          <w:rFonts w:ascii="Tenorite" w:hAnsi="Tenorite"/>
          <w:color w:val="C45911" w:themeColor="accent2" w:themeShade="BF"/>
        </w:rPr>
      </w:pPr>
    </w:p>
    <w:p w14:paraId="14F5C586" w14:textId="77777777" w:rsidR="00D025D4" w:rsidRPr="002D18D8" w:rsidRDefault="00D025D4" w:rsidP="002D18D8">
      <w:pPr>
        <w:shd w:val="clear" w:color="auto" w:fill="D9D9D9" w:themeFill="background1" w:themeFillShade="D9"/>
        <w:spacing w:after="0" w:line="240" w:lineRule="auto"/>
        <w:ind w:left="142"/>
        <w:rPr>
          <w:rFonts w:ascii="Tenorite" w:hAnsi="Tenorite"/>
          <w:b/>
          <w:color w:val="833C0B" w:themeColor="accent2" w:themeShade="80"/>
          <w:sz w:val="24"/>
          <w:szCs w:val="24"/>
        </w:rPr>
      </w:pPr>
      <w:r w:rsidRPr="002D18D8">
        <w:rPr>
          <w:rFonts w:ascii="Tenorite" w:hAnsi="Tenorite"/>
          <w:b/>
          <w:color w:val="833C0B" w:themeColor="accent2" w:themeShade="80"/>
          <w:sz w:val="24"/>
          <w:szCs w:val="24"/>
        </w:rPr>
        <w:t xml:space="preserve">ŒUFS ET OVOPRODUITS </w:t>
      </w:r>
    </w:p>
    <w:p w14:paraId="33A76140" w14:textId="03926A23" w:rsidR="00D025D4" w:rsidRPr="00FD6BF4" w:rsidRDefault="00E464D9" w:rsidP="00FD6BF4">
      <w:pPr>
        <w:spacing w:after="0" w:line="240" w:lineRule="auto"/>
        <w:ind w:left="142"/>
        <w:jc w:val="both"/>
        <w:rPr>
          <w:rFonts w:ascii="Tenorite" w:hAnsi="Tenorite"/>
          <w:color w:val="C45911" w:themeColor="accent2" w:themeShade="BF"/>
        </w:rPr>
      </w:pPr>
      <w:r w:rsidRPr="00FD6BF4">
        <w:rPr>
          <w:rFonts w:ascii="Tenorite" w:hAnsi="Tenorite"/>
          <w:color w:val="C45911" w:themeColor="accent2" w:themeShade="BF"/>
        </w:rPr>
        <w:t>Généralités</w:t>
      </w:r>
    </w:p>
    <w:p w14:paraId="1CDB692A" w14:textId="77777777" w:rsidR="002D18D8" w:rsidRPr="00FD6BF4" w:rsidRDefault="002D18D8" w:rsidP="00FD6BF4">
      <w:pPr>
        <w:pStyle w:val="Textebrut"/>
        <w:ind w:left="142"/>
        <w:jc w:val="both"/>
        <w:rPr>
          <w:rFonts w:ascii="Tenorite" w:eastAsia="Times New Roman" w:hAnsi="Tenorite" w:cs="Times New Roman"/>
          <w:szCs w:val="22"/>
          <w:lang w:eastAsia="fr-FR"/>
        </w:rPr>
      </w:pPr>
      <w:hyperlink r:id="rId36" w:history="1">
        <w:r w:rsidRPr="00FD6BF4">
          <w:rPr>
            <w:rStyle w:val="Lienhypertexte"/>
            <w:rFonts w:ascii="Tenorite" w:eastAsia="Times New Roman" w:hAnsi="Tenorite" w:cs="Times New Roman"/>
            <w:color w:val="auto"/>
            <w:szCs w:val="22"/>
            <w:lang w:eastAsia="fr-FR"/>
          </w:rPr>
          <w:t>Règlement</w:t>
        </w:r>
      </w:hyperlink>
      <w:r w:rsidRPr="00FD6BF4">
        <w:rPr>
          <w:rFonts w:ascii="Tenorite" w:eastAsia="Times New Roman" w:hAnsi="Tenorite" w:cs="Times New Roman"/>
          <w:szCs w:val="22"/>
          <w:lang w:eastAsia="fr-FR"/>
        </w:rPr>
        <w:t xml:space="preserve"> d’exécution (UE) 2025/430 de la Commission du 26 février 2025 modifiant le règlement (CE) no 1484/95 en ce qui concerne la fixation des prix représentatifs dans les secteurs de la viande de volaille et des œufs ainsi que pour l’ovalbumine (JOUE 28/02/2025)</w:t>
      </w:r>
    </w:p>
    <w:p w14:paraId="08C0F7B7" w14:textId="77777777" w:rsidR="00F30914" w:rsidRPr="00FD6BF4" w:rsidRDefault="00F30914" w:rsidP="00FD6BF4">
      <w:pPr>
        <w:spacing w:after="0" w:line="240" w:lineRule="auto"/>
        <w:ind w:left="142"/>
        <w:jc w:val="both"/>
        <w:rPr>
          <w:rFonts w:ascii="Tenorite" w:hAnsi="Tenorite"/>
          <w:color w:val="C45911" w:themeColor="accent2" w:themeShade="BF"/>
        </w:rPr>
      </w:pPr>
    </w:p>
    <w:p w14:paraId="4398C179" w14:textId="16685B22" w:rsidR="0012180A" w:rsidRDefault="0012180A" w:rsidP="00FD6BF4">
      <w:pPr>
        <w:spacing w:after="0" w:line="240" w:lineRule="auto"/>
        <w:ind w:left="142"/>
        <w:jc w:val="both"/>
        <w:rPr>
          <w:rFonts w:ascii="Tenorite" w:hAnsi="Tenorite"/>
          <w:color w:val="C45911" w:themeColor="accent2" w:themeShade="BF"/>
        </w:rPr>
      </w:pPr>
      <w:r w:rsidRPr="00FD6BF4">
        <w:rPr>
          <w:rFonts w:ascii="Tenorite" w:hAnsi="Tenorite"/>
          <w:color w:val="C45911" w:themeColor="accent2" w:themeShade="BF"/>
        </w:rPr>
        <w:t>Signes officiels de qualité</w:t>
      </w:r>
      <w:r w:rsidR="00E92909">
        <w:rPr>
          <w:rFonts w:ascii="Tenorite" w:hAnsi="Tenorite"/>
          <w:color w:val="C45911" w:themeColor="accent2" w:themeShade="BF"/>
        </w:rPr>
        <w:t xml:space="preserve"> /</w:t>
      </w:r>
    </w:p>
    <w:p w14:paraId="6B594AFF" w14:textId="1836731A" w:rsidR="00D025D4" w:rsidRPr="002D18D8" w:rsidRDefault="00D025D4" w:rsidP="002D18D8">
      <w:pPr>
        <w:spacing w:after="0" w:line="240" w:lineRule="auto"/>
        <w:ind w:left="142"/>
        <w:rPr>
          <w:rFonts w:ascii="Tenorite" w:hAnsi="Tenorite"/>
          <w:sz w:val="20"/>
          <w:szCs w:val="18"/>
        </w:rPr>
      </w:pPr>
    </w:p>
    <w:p w14:paraId="5B9F02A9" w14:textId="77777777" w:rsidR="00D025D4" w:rsidRPr="002D18D8" w:rsidRDefault="00D025D4" w:rsidP="002D18D8">
      <w:pPr>
        <w:shd w:val="clear" w:color="auto" w:fill="D9D9D9" w:themeFill="background1" w:themeFillShade="D9"/>
        <w:spacing w:after="0" w:line="240" w:lineRule="auto"/>
        <w:ind w:left="142"/>
        <w:rPr>
          <w:rFonts w:ascii="Tenorite" w:hAnsi="Tenorite"/>
          <w:b/>
          <w:color w:val="833C0B" w:themeColor="accent2" w:themeShade="80"/>
          <w:sz w:val="24"/>
          <w:szCs w:val="24"/>
        </w:rPr>
      </w:pPr>
      <w:r w:rsidRPr="002D18D8">
        <w:rPr>
          <w:rFonts w:ascii="Tenorite" w:hAnsi="Tenorite"/>
          <w:b/>
          <w:color w:val="833C0B" w:themeColor="accent2" w:themeShade="80"/>
          <w:sz w:val="24"/>
          <w:szCs w:val="24"/>
        </w:rPr>
        <w:lastRenderedPageBreak/>
        <w:t xml:space="preserve">PRODUITS SUCRES </w:t>
      </w:r>
    </w:p>
    <w:p w14:paraId="7E35E821" w14:textId="21D9655C" w:rsidR="00D025D4" w:rsidRPr="00AB4A41" w:rsidRDefault="00D025D4" w:rsidP="002D18D8">
      <w:pPr>
        <w:spacing w:after="0" w:line="240" w:lineRule="auto"/>
        <w:ind w:left="142"/>
        <w:rPr>
          <w:rFonts w:ascii="Tenorite" w:hAnsi="Tenorite"/>
          <w:color w:val="C45911" w:themeColor="accent2" w:themeShade="BF"/>
          <w:szCs w:val="20"/>
        </w:rPr>
      </w:pPr>
      <w:r w:rsidRPr="00AB4A41">
        <w:rPr>
          <w:rFonts w:ascii="Tenorite" w:hAnsi="Tenorite"/>
          <w:color w:val="C45911" w:themeColor="accent2" w:themeShade="BF"/>
          <w:szCs w:val="20"/>
        </w:rPr>
        <w:t>Cacao et chocolat</w:t>
      </w:r>
      <w:r w:rsidR="00E92909">
        <w:rPr>
          <w:rFonts w:ascii="Tenorite" w:hAnsi="Tenorite"/>
          <w:color w:val="C45911" w:themeColor="accent2" w:themeShade="BF"/>
          <w:szCs w:val="20"/>
        </w:rPr>
        <w:t xml:space="preserve"> /</w:t>
      </w:r>
    </w:p>
    <w:p w14:paraId="16EF5DD3" w14:textId="5465B4F6" w:rsidR="00D025D4" w:rsidRPr="00AB4A41" w:rsidRDefault="00D025D4" w:rsidP="002D18D8">
      <w:pPr>
        <w:spacing w:after="0" w:line="240" w:lineRule="auto"/>
        <w:ind w:left="142"/>
        <w:rPr>
          <w:rFonts w:ascii="Tenorite" w:hAnsi="Tenorite"/>
          <w:color w:val="C45911" w:themeColor="accent2" w:themeShade="BF"/>
          <w:szCs w:val="20"/>
        </w:rPr>
      </w:pPr>
      <w:r w:rsidRPr="00AB4A41">
        <w:rPr>
          <w:rFonts w:ascii="Tenorite" w:hAnsi="Tenorite"/>
          <w:color w:val="C45911" w:themeColor="accent2" w:themeShade="BF"/>
          <w:szCs w:val="20"/>
        </w:rPr>
        <w:t>Confitures et compotes</w:t>
      </w:r>
      <w:r w:rsidR="00E92909">
        <w:rPr>
          <w:rFonts w:ascii="Tenorite" w:hAnsi="Tenorite"/>
          <w:color w:val="C45911" w:themeColor="accent2" w:themeShade="BF"/>
          <w:szCs w:val="20"/>
        </w:rPr>
        <w:t xml:space="preserve"> /</w:t>
      </w:r>
    </w:p>
    <w:p w14:paraId="2BF906C4" w14:textId="054B7811" w:rsidR="00D025D4" w:rsidRPr="00AB4A41" w:rsidRDefault="00D025D4" w:rsidP="002D18D8">
      <w:pPr>
        <w:spacing w:after="0" w:line="240" w:lineRule="auto"/>
        <w:ind w:left="142"/>
        <w:rPr>
          <w:rFonts w:ascii="Tenorite" w:hAnsi="Tenorite"/>
          <w:color w:val="C45911" w:themeColor="accent2" w:themeShade="BF"/>
          <w:szCs w:val="20"/>
        </w:rPr>
      </w:pPr>
      <w:r w:rsidRPr="00AB4A41">
        <w:rPr>
          <w:rFonts w:ascii="Tenorite" w:hAnsi="Tenorite"/>
          <w:color w:val="C45911" w:themeColor="accent2" w:themeShade="BF"/>
          <w:szCs w:val="20"/>
        </w:rPr>
        <w:t>Sucres</w:t>
      </w:r>
      <w:r w:rsidR="00E92909">
        <w:rPr>
          <w:rFonts w:ascii="Tenorite" w:hAnsi="Tenorite"/>
          <w:color w:val="C45911" w:themeColor="accent2" w:themeShade="BF"/>
          <w:szCs w:val="20"/>
        </w:rPr>
        <w:t xml:space="preserve"> /</w:t>
      </w:r>
    </w:p>
    <w:p w14:paraId="7A836250" w14:textId="77777777" w:rsidR="00F42579" w:rsidRPr="002D18D8" w:rsidRDefault="00F42579" w:rsidP="002D18D8">
      <w:pPr>
        <w:spacing w:after="0" w:line="240" w:lineRule="auto"/>
        <w:ind w:left="142"/>
        <w:rPr>
          <w:rFonts w:ascii="Tenorite" w:hAnsi="Tenorite"/>
          <w:color w:val="C45911" w:themeColor="accent2" w:themeShade="BF"/>
          <w:sz w:val="20"/>
          <w:szCs w:val="18"/>
        </w:rPr>
      </w:pPr>
    </w:p>
    <w:p w14:paraId="12B01DA5" w14:textId="77777777" w:rsidR="00D025D4" w:rsidRPr="002D18D8" w:rsidRDefault="00D025D4" w:rsidP="002D18D8">
      <w:pPr>
        <w:shd w:val="clear" w:color="auto" w:fill="D9D9D9" w:themeFill="background1" w:themeFillShade="D9"/>
        <w:spacing w:after="0" w:line="240" w:lineRule="auto"/>
        <w:ind w:left="142"/>
        <w:rPr>
          <w:rFonts w:ascii="Tenorite" w:hAnsi="Tenorite"/>
          <w:b/>
          <w:color w:val="833C0B" w:themeColor="accent2" w:themeShade="80"/>
          <w:sz w:val="24"/>
          <w:szCs w:val="24"/>
        </w:rPr>
      </w:pPr>
      <w:r w:rsidRPr="002D18D8">
        <w:rPr>
          <w:rFonts w:ascii="Tenorite" w:hAnsi="Tenorite"/>
          <w:b/>
          <w:color w:val="833C0B" w:themeColor="accent2" w:themeShade="80"/>
          <w:sz w:val="24"/>
          <w:szCs w:val="24"/>
        </w:rPr>
        <w:t xml:space="preserve">VIANDES ET PRODUITS À BASE DE VIANDE </w:t>
      </w:r>
    </w:p>
    <w:p w14:paraId="09140052" w14:textId="77777777" w:rsidR="002D18D8" w:rsidRPr="00AB4A41" w:rsidRDefault="002D18D8" w:rsidP="00AB4A41">
      <w:pPr>
        <w:pStyle w:val="Textebrut"/>
        <w:ind w:left="142"/>
        <w:jc w:val="both"/>
        <w:rPr>
          <w:rFonts w:ascii="Tenorite" w:hAnsi="Tenorite"/>
          <w:szCs w:val="22"/>
        </w:rPr>
      </w:pPr>
      <w:hyperlink r:id="rId37" w:history="1">
        <w:r w:rsidRPr="00AB4A41">
          <w:rPr>
            <w:rStyle w:val="Lienhypertexte"/>
            <w:rFonts w:ascii="Tenorite" w:hAnsi="Tenorite"/>
            <w:color w:val="auto"/>
            <w:szCs w:val="22"/>
          </w:rPr>
          <w:t>Décret</w:t>
        </w:r>
      </w:hyperlink>
      <w:r w:rsidRPr="00AB4A41">
        <w:rPr>
          <w:rFonts w:ascii="Tenorite" w:hAnsi="Tenorite"/>
          <w:szCs w:val="22"/>
        </w:rPr>
        <w:t xml:space="preserve"> n° 2025-141 du 13 février 2025 modifiant le décret n° 2002-1465 du 17 décembre 2002 relatif à l'étiquetage des viandes bovines dans les établissements de restauration (JORF 18/02/2025)</w:t>
      </w:r>
    </w:p>
    <w:p w14:paraId="096DF55F" w14:textId="4155AF9F" w:rsidR="00D025D4" w:rsidRPr="00AB4A41" w:rsidRDefault="00D025D4" w:rsidP="00AB4A41">
      <w:pPr>
        <w:spacing w:after="0" w:line="240" w:lineRule="auto"/>
        <w:ind w:left="142"/>
        <w:jc w:val="both"/>
        <w:rPr>
          <w:rFonts w:ascii="Tenorite" w:hAnsi="Tenorite"/>
        </w:rPr>
      </w:pPr>
      <w:r w:rsidRPr="00AB4A41">
        <w:rPr>
          <w:rFonts w:ascii="Tenorite" w:hAnsi="Tenorite"/>
        </w:rPr>
        <w:tab/>
      </w:r>
    </w:p>
    <w:p w14:paraId="41E52C26" w14:textId="77777777" w:rsidR="002D18D8" w:rsidRPr="00AB4A41" w:rsidRDefault="002D18D8" w:rsidP="00AB4A41">
      <w:pPr>
        <w:pStyle w:val="Textebrut"/>
        <w:ind w:left="142"/>
        <w:jc w:val="both"/>
        <w:rPr>
          <w:rFonts w:ascii="Tenorite" w:hAnsi="Tenorite"/>
          <w:szCs w:val="22"/>
        </w:rPr>
      </w:pPr>
      <w:hyperlink r:id="rId38" w:tgtFrame="_blank" w:history="1">
        <w:r w:rsidRPr="00AB4A41">
          <w:rPr>
            <w:rFonts w:ascii="Tenorite" w:hAnsi="Tenorite" w:cs="Arial"/>
            <w:szCs w:val="22"/>
            <w:u w:val="single"/>
          </w:rPr>
          <w:t>Avis relatif aux modalités de surveillance de Salmonella Kentucky en filière avicole</w:t>
        </w:r>
      </w:hyperlink>
      <w:r w:rsidRPr="00AB4A41">
        <w:rPr>
          <w:rFonts w:ascii="Tenorite" w:hAnsi="Tenorite" w:cs="Arial"/>
          <w:szCs w:val="22"/>
        </w:rPr>
        <w:t xml:space="preserve"> – avis signé le 10/12/2024</w:t>
      </w:r>
    </w:p>
    <w:p w14:paraId="466FF19A" w14:textId="77777777" w:rsidR="00F42579" w:rsidRPr="00AB4A41" w:rsidRDefault="00F42579" w:rsidP="00AB4A41">
      <w:pPr>
        <w:shd w:val="clear" w:color="auto" w:fill="FFFFFF"/>
        <w:spacing w:after="0" w:line="240" w:lineRule="auto"/>
        <w:ind w:left="142"/>
        <w:jc w:val="both"/>
        <w:rPr>
          <w:rFonts w:ascii="Tenorite" w:hAnsi="Tenorite"/>
        </w:rPr>
      </w:pPr>
    </w:p>
    <w:p w14:paraId="1FEAE392" w14:textId="097050F1" w:rsidR="00D025D4" w:rsidRPr="00AB4A41" w:rsidRDefault="00D025D4" w:rsidP="00AB4A41">
      <w:pPr>
        <w:spacing w:after="0" w:line="240" w:lineRule="auto"/>
        <w:ind w:left="142"/>
        <w:jc w:val="both"/>
        <w:rPr>
          <w:rFonts w:ascii="Tenorite" w:hAnsi="Tenorite"/>
          <w:color w:val="C45911" w:themeColor="accent2" w:themeShade="BF"/>
        </w:rPr>
      </w:pPr>
      <w:r w:rsidRPr="00AB4A41">
        <w:rPr>
          <w:rFonts w:ascii="Tenorite" w:hAnsi="Tenorite"/>
          <w:color w:val="C45911" w:themeColor="accent2" w:themeShade="BF"/>
        </w:rPr>
        <w:t>Maladies</w:t>
      </w:r>
    </w:p>
    <w:p w14:paraId="2A9DACBC" w14:textId="1CF85454" w:rsidR="00AB4A41" w:rsidRPr="00AB4A41" w:rsidRDefault="00AB4A41" w:rsidP="00AB4A41">
      <w:pPr>
        <w:pStyle w:val="Textebrut"/>
        <w:ind w:left="142"/>
        <w:jc w:val="both"/>
        <w:rPr>
          <w:rFonts w:ascii="Tenorite" w:eastAsia="Times New Roman" w:hAnsi="Tenorite" w:cs="Times New Roman"/>
          <w:b/>
          <w:bCs/>
          <w:i/>
          <w:iCs/>
          <w:szCs w:val="22"/>
          <w:lang w:eastAsia="fr-FR"/>
        </w:rPr>
      </w:pPr>
      <w:r w:rsidRPr="00AB4A41">
        <w:rPr>
          <w:rFonts w:ascii="Tenorite" w:eastAsia="Times New Roman" w:hAnsi="Tenorite" w:cs="Times New Roman"/>
          <w:b/>
          <w:bCs/>
          <w:i/>
          <w:iCs/>
          <w:szCs w:val="22"/>
          <w:lang w:eastAsia="fr-FR"/>
        </w:rPr>
        <w:t xml:space="preserve">Maladies des </w:t>
      </w:r>
      <w:r>
        <w:rPr>
          <w:rFonts w:ascii="Tenorite" w:eastAsia="Times New Roman" w:hAnsi="Tenorite" w:cs="Times New Roman"/>
          <w:b/>
          <w:bCs/>
          <w:i/>
          <w:iCs/>
          <w:szCs w:val="22"/>
          <w:lang w:eastAsia="fr-FR"/>
        </w:rPr>
        <w:t>b</w:t>
      </w:r>
      <w:r w:rsidRPr="00AB4A41">
        <w:rPr>
          <w:rFonts w:ascii="Tenorite" w:eastAsia="Times New Roman" w:hAnsi="Tenorite" w:cs="Times New Roman"/>
          <w:b/>
          <w:bCs/>
          <w:i/>
          <w:iCs/>
          <w:szCs w:val="22"/>
          <w:lang w:eastAsia="fr-FR"/>
        </w:rPr>
        <w:t>ovins</w:t>
      </w:r>
    </w:p>
    <w:p w14:paraId="4D478A10" w14:textId="77777777" w:rsidR="00AB4A41" w:rsidRPr="00AB4A41" w:rsidRDefault="00AB4A41" w:rsidP="00AB4A41">
      <w:pPr>
        <w:pStyle w:val="Textebrut"/>
        <w:ind w:left="142"/>
        <w:jc w:val="both"/>
        <w:rPr>
          <w:rFonts w:ascii="Tenorite" w:hAnsi="Tenorite" w:cs="Arial"/>
          <w:szCs w:val="22"/>
        </w:rPr>
      </w:pPr>
      <w:hyperlink r:id="rId39" w:tgtFrame="_blank" w:history="1">
        <w:r w:rsidRPr="00AB4A41">
          <w:rPr>
            <w:rFonts w:ascii="Tenorite" w:hAnsi="Tenorite" w:cs="Arial"/>
            <w:szCs w:val="22"/>
            <w:u w:val="single"/>
          </w:rPr>
          <w:t xml:space="preserve">Avis relatif à une demande d'évaluation du risque de résurgence de la brucellose </w:t>
        </w:r>
        <w:proofErr w:type="gramStart"/>
        <w:r w:rsidRPr="00AB4A41">
          <w:rPr>
            <w:rFonts w:ascii="Tenorite" w:hAnsi="Tenorite" w:cs="Arial"/>
            <w:szCs w:val="22"/>
            <w:u w:val="single"/>
          </w:rPr>
          <w:t>suite à</w:t>
        </w:r>
        <w:proofErr w:type="gramEnd"/>
        <w:r w:rsidRPr="00AB4A41">
          <w:rPr>
            <w:rFonts w:ascii="Tenorite" w:hAnsi="Tenorite" w:cs="Arial"/>
            <w:szCs w:val="22"/>
            <w:u w:val="single"/>
          </w:rPr>
          <w:t xml:space="preserve"> l'utilisation d'embryons issus du foyer de brucellose bovine en Haute Savoie en </w:t>
        </w:r>
        <w:proofErr w:type="gramStart"/>
        <w:r w:rsidRPr="00AB4A41">
          <w:rPr>
            <w:rFonts w:ascii="Tenorite" w:hAnsi="Tenorite" w:cs="Arial"/>
            <w:szCs w:val="22"/>
            <w:u w:val="single"/>
          </w:rPr>
          <w:t>2021»</w:t>
        </w:r>
        <w:proofErr w:type="gramEnd"/>
      </w:hyperlink>
      <w:r w:rsidRPr="00AB4A41">
        <w:rPr>
          <w:rFonts w:ascii="Tenorite" w:hAnsi="Tenorite" w:cs="Arial"/>
          <w:szCs w:val="22"/>
        </w:rPr>
        <w:t xml:space="preserve"> - avis signé le 27/01/2025</w:t>
      </w:r>
    </w:p>
    <w:p w14:paraId="33B1F66D" w14:textId="77777777" w:rsidR="00AB4A41" w:rsidRDefault="00AB4A41" w:rsidP="00AB4A41">
      <w:pPr>
        <w:pStyle w:val="Textebrut"/>
        <w:ind w:left="142"/>
        <w:jc w:val="both"/>
        <w:rPr>
          <w:rFonts w:ascii="Tenorite" w:eastAsia="Times New Roman" w:hAnsi="Tenorite" w:cs="Times New Roman"/>
          <w:b/>
          <w:bCs/>
          <w:i/>
          <w:iCs/>
          <w:szCs w:val="22"/>
          <w:lang w:eastAsia="fr-FR"/>
        </w:rPr>
      </w:pPr>
    </w:p>
    <w:p w14:paraId="052B854E" w14:textId="77777777" w:rsidR="00AB4A41" w:rsidRPr="00AB4A41" w:rsidRDefault="00AB4A41" w:rsidP="00AB4A41">
      <w:pPr>
        <w:pStyle w:val="Textebrut"/>
        <w:ind w:left="142"/>
        <w:jc w:val="both"/>
        <w:rPr>
          <w:rFonts w:ascii="Tenorite" w:hAnsi="Tenorite"/>
          <w:szCs w:val="22"/>
        </w:rPr>
      </w:pPr>
      <w:hyperlink r:id="rId40" w:history="1">
        <w:r w:rsidRPr="00AB4A41">
          <w:rPr>
            <w:rStyle w:val="Lienhypertexte"/>
            <w:rFonts w:ascii="Tenorite" w:hAnsi="Tenorite"/>
            <w:color w:val="auto"/>
            <w:szCs w:val="22"/>
          </w:rPr>
          <w:t>Arrêté</w:t>
        </w:r>
      </w:hyperlink>
      <w:r w:rsidRPr="00AB4A41">
        <w:rPr>
          <w:rFonts w:ascii="Tenorite" w:hAnsi="Tenorite"/>
          <w:szCs w:val="22"/>
        </w:rPr>
        <w:t xml:space="preserve"> du 14 février 2025 fixant une date unique de dépôt des pièces pour les notifications des cas de force majeure liés à la maladie hémorragique épizootique au titre de la campagne 2024 de l'aide aux bovins de plus de 16 mois, dans les départements métropolitains hors Corse (JORF 15/02/2025)</w:t>
      </w:r>
    </w:p>
    <w:p w14:paraId="64680242" w14:textId="77777777" w:rsidR="00AB4A41" w:rsidRDefault="00AB4A41" w:rsidP="00AB4A41">
      <w:pPr>
        <w:pStyle w:val="Textebrut"/>
        <w:ind w:left="142"/>
        <w:jc w:val="both"/>
        <w:rPr>
          <w:rFonts w:ascii="Tenorite" w:eastAsia="Times New Roman" w:hAnsi="Tenorite" w:cs="Times New Roman"/>
          <w:b/>
          <w:bCs/>
          <w:i/>
          <w:iCs/>
          <w:szCs w:val="22"/>
          <w:lang w:eastAsia="fr-FR"/>
        </w:rPr>
      </w:pPr>
    </w:p>
    <w:p w14:paraId="68559DB9" w14:textId="2C04154D" w:rsidR="00BF7E56" w:rsidRPr="00AB4A41" w:rsidRDefault="00BF7E56" w:rsidP="00AB4A41">
      <w:pPr>
        <w:pStyle w:val="Textebrut"/>
        <w:ind w:left="142"/>
        <w:jc w:val="both"/>
        <w:rPr>
          <w:rFonts w:ascii="Tenorite" w:eastAsia="Times New Roman" w:hAnsi="Tenorite" w:cs="Times New Roman"/>
          <w:b/>
          <w:bCs/>
          <w:i/>
          <w:iCs/>
          <w:szCs w:val="22"/>
          <w:lang w:eastAsia="fr-FR"/>
        </w:rPr>
      </w:pPr>
      <w:r w:rsidRPr="00AB4A41">
        <w:rPr>
          <w:rFonts w:ascii="Tenorite" w:eastAsia="Times New Roman" w:hAnsi="Tenorite" w:cs="Times New Roman"/>
          <w:b/>
          <w:bCs/>
          <w:i/>
          <w:iCs/>
          <w:szCs w:val="22"/>
          <w:lang w:eastAsia="fr-FR"/>
        </w:rPr>
        <w:t>Maladies des ovins, caprins</w:t>
      </w:r>
    </w:p>
    <w:p w14:paraId="203707B5" w14:textId="77777777" w:rsidR="00AB4A41" w:rsidRDefault="00AB4A41" w:rsidP="00AB4A41">
      <w:pPr>
        <w:pStyle w:val="Textebrut"/>
        <w:ind w:left="142"/>
        <w:jc w:val="both"/>
        <w:rPr>
          <w:rFonts w:ascii="Tenorite" w:hAnsi="Tenorite"/>
          <w:szCs w:val="22"/>
        </w:rPr>
      </w:pPr>
      <w:hyperlink r:id="rId41" w:history="1">
        <w:r w:rsidRPr="00AB4A41">
          <w:rPr>
            <w:rStyle w:val="Lienhypertexte"/>
            <w:rFonts w:ascii="Tenorite" w:hAnsi="Tenorite"/>
            <w:color w:val="auto"/>
            <w:szCs w:val="22"/>
          </w:rPr>
          <w:t>Décision</w:t>
        </w:r>
      </w:hyperlink>
      <w:r w:rsidRPr="00AB4A41">
        <w:rPr>
          <w:rFonts w:ascii="Tenorite" w:hAnsi="Tenorite"/>
          <w:szCs w:val="22"/>
        </w:rPr>
        <w:t xml:space="preserve"> d’exécution (UE) 2025/269 de la Commission du 4 février 2025 modifiant la décision d’exécution (UE) 2024/3238 concernant certaines mesures d’urgence relatives à l’infection par le virus de la peste des petits ruminants en Bulgarie (JOUE 07/02/2025)</w:t>
      </w:r>
    </w:p>
    <w:p w14:paraId="0B4C54EA" w14:textId="77777777" w:rsidR="00AB4A41" w:rsidRDefault="00AB4A41" w:rsidP="00AB4A41">
      <w:pPr>
        <w:pStyle w:val="Textebrut"/>
        <w:ind w:left="142"/>
        <w:jc w:val="both"/>
        <w:rPr>
          <w:rFonts w:ascii="Tenorite" w:hAnsi="Tenorite"/>
          <w:szCs w:val="22"/>
        </w:rPr>
      </w:pPr>
    </w:p>
    <w:p w14:paraId="50C631DD" w14:textId="7A2F7FF2" w:rsidR="00AB4A41" w:rsidRPr="00AB4A41" w:rsidRDefault="00AB4A41" w:rsidP="00AB4A41">
      <w:pPr>
        <w:pStyle w:val="Textebrut"/>
        <w:ind w:left="142"/>
        <w:jc w:val="both"/>
        <w:rPr>
          <w:rFonts w:ascii="Tenorite" w:hAnsi="Tenorite"/>
          <w:szCs w:val="22"/>
        </w:rPr>
      </w:pPr>
      <w:hyperlink r:id="rId42" w:history="1">
        <w:r w:rsidRPr="00AB4A41">
          <w:rPr>
            <w:rStyle w:val="Lienhypertexte"/>
            <w:rFonts w:ascii="Tenorite" w:hAnsi="Tenorite"/>
            <w:color w:val="auto"/>
            <w:szCs w:val="22"/>
          </w:rPr>
          <w:t>Décision</w:t>
        </w:r>
      </w:hyperlink>
      <w:r w:rsidRPr="00AB4A41">
        <w:rPr>
          <w:rFonts w:ascii="Tenorite" w:hAnsi="Tenorite"/>
          <w:szCs w:val="22"/>
        </w:rPr>
        <w:t xml:space="preserve"> d’exécution (UE) 2025/384 de la Commission du 20 février 2025 concernant certaines mesures d’urgence relatives à l’infection par le virus de la peste des petits ruminants en Hongrie et abrogeant la décision d’exécution (UE) 2025/255 (JOUE 27/02/2025)</w:t>
      </w:r>
    </w:p>
    <w:p w14:paraId="5E73DCCD" w14:textId="77777777" w:rsidR="00AB4A41" w:rsidRDefault="00AB4A41" w:rsidP="00AB4A41">
      <w:pPr>
        <w:pStyle w:val="Textebrut"/>
        <w:ind w:left="142"/>
        <w:jc w:val="both"/>
        <w:rPr>
          <w:rFonts w:ascii="Tenorite" w:hAnsi="Tenorite"/>
          <w:szCs w:val="22"/>
        </w:rPr>
      </w:pPr>
    </w:p>
    <w:p w14:paraId="1DEA856F" w14:textId="77777777" w:rsidR="00AB4A41" w:rsidRPr="00AB4A41" w:rsidRDefault="00AB4A41" w:rsidP="00AB4A41">
      <w:pPr>
        <w:pStyle w:val="Textebrut"/>
        <w:ind w:left="142"/>
        <w:jc w:val="both"/>
        <w:rPr>
          <w:rFonts w:ascii="Tenorite" w:hAnsi="Tenorite"/>
          <w:szCs w:val="22"/>
        </w:rPr>
      </w:pPr>
      <w:hyperlink r:id="rId43" w:history="1">
        <w:r w:rsidRPr="00AB4A41">
          <w:rPr>
            <w:rStyle w:val="Lienhypertexte"/>
            <w:rFonts w:ascii="Tenorite" w:hAnsi="Tenorite"/>
            <w:color w:val="auto"/>
            <w:szCs w:val="22"/>
          </w:rPr>
          <w:t>Décision</w:t>
        </w:r>
      </w:hyperlink>
      <w:r w:rsidRPr="00AB4A41">
        <w:rPr>
          <w:rFonts w:ascii="Tenorite" w:hAnsi="Tenorite"/>
          <w:szCs w:val="22"/>
        </w:rPr>
        <w:t xml:space="preserve"> d’exécution (UE) 2025/383 de la Commission du 20 février 2025 modifiant la décision d’exécution (UE) 2024/2207 concernant certaines mesures d’urgence relatives à la clavelée et à la variole caprine en Grèce (JOUE 26/02/2025)</w:t>
      </w:r>
    </w:p>
    <w:p w14:paraId="1350C765" w14:textId="77777777" w:rsidR="00BF7E56" w:rsidRDefault="00BF7E56" w:rsidP="00AB4A41">
      <w:pPr>
        <w:shd w:val="clear" w:color="auto" w:fill="FFFFFF"/>
        <w:spacing w:after="0" w:line="240" w:lineRule="auto"/>
        <w:ind w:left="142"/>
        <w:jc w:val="both"/>
        <w:rPr>
          <w:rFonts w:ascii="Tenorite" w:hAnsi="Tenorite"/>
        </w:rPr>
      </w:pPr>
    </w:p>
    <w:p w14:paraId="2CB632BE" w14:textId="77777777" w:rsidR="00AB4A41" w:rsidRPr="00AB4A41" w:rsidRDefault="00AB4A41" w:rsidP="00AB4A41">
      <w:pPr>
        <w:pStyle w:val="Textebrut"/>
        <w:ind w:left="142"/>
        <w:jc w:val="both"/>
        <w:rPr>
          <w:rFonts w:ascii="Tenorite" w:hAnsi="Tenorite"/>
          <w:szCs w:val="22"/>
        </w:rPr>
      </w:pPr>
      <w:hyperlink r:id="rId44" w:history="1">
        <w:r w:rsidRPr="00AB4A41">
          <w:rPr>
            <w:rStyle w:val="Lienhypertexte"/>
            <w:rFonts w:ascii="Tenorite" w:hAnsi="Tenorite"/>
            <w:color w:val="auto"/>
            <w:szCs w:val="22"/>
          </w:rPr>
          <w:t>Arrêté</w:t>
        </w:r>
      </w:hyperlink>
      <w:r w:rsidRPr="00AB4A41">
        <w:rPr>
          <w:rFonts w:ascii="Tenorite" w:hAnsi="Tenorite"/>
          <w:szCs w:val="22"/>
        </w:rPr>
        <w:t xml:space="preserve"> du 12 février 2025 modifiant l'arrêté du 4 juillet 2024 fixant les mesures de surveillance, de prévention et de lutte relatives à la lutte contre la fièvre catarrhale ovine sur le territoire métropolitain (JORF 15/02/2025)</w:t>
      </w:r>
    </w:p>
    <w:p w14:paraId="5EACF815" w14:textId="77777777" w:rsidR="00AB4A41" w:rsidRDefault="00AB4A41" w:rsidP="00AB4A41">
      <w:pPr>
        <w:shd w:val="clear" w:color="auto" w:fill="FFFFFF"/>
        <w:spacing w:after="0" w:line="240" w:lineRule="auto"/>
        <w:ind w:left="142"/>
        <w:jc w:val="both"/>
        <w:rPr>
          <w:rFonts w:ascii="Tenorite" w:hAnsi="Tenorite"/>
        </w:rPr>
      </w:pPr>
    </w:p>
    <w:p w14:paraId="3C20F9FB" w14:textId="77777777" w:rsidR="00AB4A41" w:rsidRPr="00AB4A41" w:rsidRDefault="00AB4A41" w:rsidP="00AB4A41">
      <w:pPr>
        <w:pStyle w:val="Textebrut"/>
        <w:ind w:left="142"/>
        <w:jc w:val="both"/>
        <w:rPr>
          <w:rFonts w:ascii="Tenorite" w:hAnsi="Tenorite"/>
          <w:szCs w:val="22"/>
        </w:rPr>
      </w:pPr>
      <w:hyperlink r:id="rId45" w:history="1">
        <w:r w:rsidRPr="00AB4A41">
          <w:rPr>
            <w:rStyle w:val="Lienhypertexte"/>
            <w:rFonts w:ascii="Tenorite" w:hAnsi="Tenorite"/>
            <w:color w:val="auto"/>
            <w:szCs w:val="22"/>
          </w:rPr>
          <w:t>Décision</w:t>
        </w:r>
      </w:hyperlink>
      <w:r w:rsidRPr="00AB4A41">
        <w:rPr>
          <w:rFonts w:ascii="Tenorite" w:hAnsi="Tenorite"/>
          <w:szCs w:val="22"/>
        </w:rPr>
        <w:t xml:space="preserve"> d’exécution (UE) 2025/213 de la Commission du 30 janvier 2025 modifiant la décision d’exécution (UE) 2024/2918 concernant certaines mesures d’urgence relatives à la clavelée et à la variole caprine en Bulgarie (JOUE 03/02/2025)</w:t>
      </w:r>
    </w:p>
    <w:p w14:paraId="207B7AC1" w14:textId="77777777" w:rsidR="00AB4A41" w:rsidRPr="00AB4A41" w:rsidRDefault="00AB4A41" w:rsidP="00AB4A41">
      <w:pPr>
        <w:shd w:val="clear" w:color="auto" w:fill="FFFFFF"/>
        <w:spacing w:after="0" w:line="240" w:lineRule="auto"/>
        <w:ind w:left="142"/>
        <w:jc w:val="both"/>
        <w:rPr>
          <w:rFonts w:ascii="Tenorite" w:hAnsi="Tenorite"/>
        </w:rPr>
      </w:pPr>
    </w:p>
    <w:p w14:paraId="1CFE1A6D" w14:textId="1F648DCF" w:rsidR="00BF7E56" w:rsidRPr="00AB4A41" w:rsidRDefault="00BF7E56" w:rsidP="00AB4A41">
      <w:pPr>
        <w:pStyle w:val="Textebrut"/>
        <w:ind w:left="142"/>
        <w:jc w:val="both"/>
        <w:rPr>
          <w:rFonts w:ascii="Tenorite" w:eastAsia="Times New Roman" w:hAnsi="Tenorite" w:cs="Times New Roman"/>
          <w:b/>
          <w:bCs/>
          <w:i/>
          <w:iCs/>
          <w:szCs w:val="22"/>
          <w:lang w:eastAsia="fr-FR"/>
        </w:rPr>
      </w:pPr>
      <w:r w:rsidRPr="00AB4A41">
        <w:rPr>
          <w:rFonts w:ascii="Tenorite" w:eastAsia="Times New Roman" w:hAnsi="Tenorite" w:cs="Times New Roman"/>
          <w:b/>
          <w:bCs/>
          <w:i/>
          <w:iCs/>
          <w:szCs w:val="22"/>
          <w:lang w:eastAsia="fr-FR"/>
        </w:rPr>
        <w:t xml:space="preserve">Maladies des volailles </w:t>
      </w:r>
    </w:p>
    <w:p w14:paraId="11B2D645" w14:textId="77777777" w:rsidR="00AB4A41" w:rsidRPr="00AB4A41" w:rsidRDefault="00AB4A41" w:rsidP="00AB4A41">
      <w:pPr>
        <w:pStyle w:val="Textebrut"/>
        <w:ind w:left="142"/>
        <w:jc w:val="both"/>
        <w:rPr>
          <w:rFonts w:ascii="Tenorite" w:hAnsi="Tenorite"/>
          <w:szCs w:val="22"/>
        </w:rPr>
      </w:pPr>
      <w:hyperlink r:id="rId46" w:history="1">
        <w:r w:rsidRPr="00AB4A41">
          <w:rPr>
            <w:rStyle w:val="Lienhypertexte"/>
            <w:rFonts w:ascii="Tenorite" w:hAnsi="Tenorite"/>
            <w:color w:val="auto"/>
            <w:szCs w:val="22"/>
          </w:rPr>
          <w:t>Décision</w:t>
        </w:r>
      </w:hyperlink>
      <w:r w:rsidRPr="00AB4A41">
        <w:rPr>
          <w:rFonts w:ascii="Tenorite" w:hAnsi="Tenorite"/>
          <w:szCs w:val="22"/>
        </w:rPr>
        <w:t xml:space="preserve"> d’exécution (UE) 2025/423 de la Commission du 24 février 2025 modifiant l’annexe de la décision d’exécution (UE) 2023/2447 concernant des mesures d’urgence motivées par l’apparition de foyers d’influenza aviaire hautement pathogène dans certains États membres (JOUE 27/02/2025)</w:t>
      </w:r>
    </w:p>
    <w:p w14:paraId="42241EAA" w14:textId="77777777" w:rsidR="00BF7E56" w:rsidRDefault="00BF7E56" w:rsidP="00AB4A41">
      <w:pPr>
        <w:shd w:val="clear" w:color="auto" w:fill="FFFFFF"/>
        <w:spacing w:after="0" w:line="240" w:lineRule="auto"/>
        <w:ind w:left="142"/>
        <w:jc w:val="both"/>
        <w:rPr>
          <w:rFonts w:ascii="Tenorite" w:hAnsi="Tenorite"/>
        </w:rPr>
      </w:pPr>
    </w:p>
    <w:p w14:paraId="79C085B0" w14:textId="77777777" w:rsidR="00AB4A41" w:rsidRPr="00AB4A41" w:rsidRDefault="00AB4A41" w:rsidP="00AB4A41">
      <w:pPr>
        <w:pStyle w:val="Textebrut"/>
        <w:ind w:left="142"/>
        <w:jc w:val="both"/>
        <w:rPr>
          <w:rFonts w:ascii="Tenorite" w:hAnsi="Tenorite"/>
          <w:szCs w:val="22"/>
        </w:rPr>
      </w:pPr>
      <w:hyperlink r:id="rId47" w:history="1">
        <w:r w:rsidRPr="00AB4A41">
          <w:rPr>
            <w:rStyle w:val="Lienhypertexte"/>
            <w:rFonts w:ascii="Tenorite" w:hAnsi="Tenorite"/>
            <w:color w:val="auto"/>
            <w:szCs w:val="22"/>
          </w:rPr>
          <w:t>Décision</w:t>
        </w:r>
      </w:hyperlink>
      <w:r w:rsidRPr="00AB4A41">
        <w:rPr>
          <w:rFonts w:ascii="Tenorite" w:hAnsi="Tenorite"/>
          <w:szCs w:val="22"/>
        </w:rPr>
        <w:t xml:space="preserve"> d’exécution (UE) 2025/270 de la Commission du 4 février 2025 modifiant l’annexe de la décision d’exécution (UE) 2023/2447 concernant des mesures d’urgence motivées par l’apparition de foyers d’influenza aviaire hautement pathogène dans certains États membres (JOUE 07/02/2025)</w:t>
      </w:r>
    </w:p>
    <w:p w14:paraId="448D3F41" w14:textId="77777777" w:rsidR="00AB4A41" w:rsidRDefault="00AB4A41" w:rsidP="00AB4A41">
      <w:pPr>
        <w:shd w:val="clear" w:color="auto" w:fill="FFFFFF"/>
        <w:spacing w:after="0" w:line="240" w:lineRule="auto"/>
        <w:ind w:left="142"/>
        <w:jc w:val="both"/>
        <w:rPr>
          <w:rFonts w:ascii="Tenorite" w:hAnsi="Tenorite"/>
        </w:rPr>
      </w:pPr>
    </w:p>
    <w:p w14:paraId="427B24C0" w14:textId="77777777" w:rsidR="00AB4A41" w:rsidRPr="00AB4A41" w:rsidRDefault="00AB4A41" w:rsidP="00AB4A41">
      <w:pPr>
        <w:pStyle w:val="Textebrut"/>
        <w:ind w:left="142"/>
        <w:jc w:val="both"/>
        <w:rPr>
          <w:rFonts w:ascii="Tenorite" w:hAnsi="Tenorite"/>
          <w:szCs w:val="22"/>
        </w:rPr>
      </w:pPr>
      <w:hyperlink r:id="rId48" w:history="1">
        <w:r w:rsidRPr="00AB4A41">
          <w:rPr>
            <w:rStyle w:val="Lienhypertexte"/>
            <w:rFonts w:ascii="Tenorite" w:hAnsi="Tenorite"/>
            <w:color w:val="auto"/>
            <w:szCs w:val="22"/>
          </w:rPr>
          <w:t>Décision</w:t>
        </w:r>
      </w:hyperlink>
      <w:r w:rsidRPr="00AB4A41">
        <w:rPr>
          <w:rFonts w:ascii="Tenorite" w:hAnsi="Tenorite"/>
          <w:szCs w:val="22"/>
        </w:rPr>
        <w:t xml:space="preserve"> d’exécution (UE) 2025/321 de la Commission du 11 février 2025 modifiant l’annexe de la décision d’exécution (UE) 2023/2447 concernant des mesures d’urgence motivées par l’apparition de foyers d’influenza aviaire hautement pathogène dans certains États membres (JOUE 14/02/2025)</w:t>
      </w:r>
    </w:p>
    <w:p w14:paraId="62ED3E47" w14:textId="77777777" w:rsidR="00AB4A41" w:rsidRPr="00AB4A41" w:rsidRDefault="00AB4A41" w:rsidP="00AB4A41">
      <w:pPr>
        <w:shd w:val="clear" w:color="auto" w:fill="FFFFFF"/>
        <w:spacing w:after="0" w:line="240" w:lineRule="auto"/>
        <w:ind w:left="142"/>
        <w:jc w:val="both"/>
        <w:rPr>
          <w:rFonts w:ascii="Tenorite" w:hAnsi="Tenorite"/>
        </w:rPr>
      </w:pPr>
    </w:p>
    <w:p w14:paraId="5BA9E5A8" w14:textId="691CC033" w:rsidR="00BF7E56" w:rsidRPr="00AB4A41" w:rsidRDefault="00BF7E56" w:rsidP="00AB4A41">
      <w:pPr>
        <w:pStyle w:val="Textebrut"/>
        <w:ind w:left="142"/>
        <w:jc w:val="both"/>
        <w:rPr>
          <w:rFonts w:ascii="Tenorite" w:eastAsia="Times New Roman" w:hAnsi="Tenorite" w:cs="Times New Roman"/>
          <w:b/>
          <w:bCs/>
          <w:i/>
          <w:iCs/>
          <w:szCs w:val="22"/>
          <w:lang w:eastAsia="fr-FR"/>
        </w:rPr>
      </w:pPr>
      <w:r w:rsidRPr="00AB4A41">
        <w:rPr>
          <w:rFonts w:ascii="Tenorite" w:eastAsia="Times New Roman" w:hAnsi="Tenorite" w:cs="Times New Roman"/>
          <w:b/>
          <w:bCs/>
          <w:i/>
          <w:iCs/>
          <w:szCs w:val="22"/>
          <w:lang w:eastAsia="fr-FR"/>
        </w:rPr>
        <w:t>Maladies des lapins</w:t>
      </w:r>
    </w:p>
    <w:p w14:paraId="1FDC4330" w14:textId="77777777" w:rsidR="00BF7E56" w:rsidRPr="00AB4A41" w:rsidRDefault="00BF7E56" w:rsidP="00AB4A41">
      <w:pPr>
        <w:spacing w:after="0" w:line="240" w:lineRule="auto"/>
        <w:ind w:left="142"/>
        <w:jc w:val="both"/>
        <w:rPr>
          <w:rFonts w:ascii="Tenorite" w:hAnsi="Tenorite"/>
          <w:color w:val="C45911" w:themeColor="accent2" w:themeShade="BF"/>
        </w:rPr>
      </w:pPr>
    </w:p>
    <w:p w14:paraId="600A4427" w14:textId="7224569D" w:rsidR="00BF7E56" w:rsidRPr="00AB4A41" w:rsidRDefault="00BF7E56" w:rsidP="00AB4A41">
      <w:pPr>
        <w:pStyle w:val="Textebrut"/>
        <w:ind w:left="142"/>
        <w:jc w:val="both"/>
        <w:rPr>
          <w:rFonts w:ascii="Tenorite" w:eastAsia="Times New Roman" w:hAnsi="Tenorite" w:cs="Times New Roman"/>
          <w:b/>
          <w:bCs/>
          <w:i/>
          <w:iCs/>
          <w:szCs w:val="22"/>
          <w:lang w:eastAsia="fr-FR"/>
        </w:rPr>
      </w:pPr>
      <w:r w:rsidRPr="00AB4A41">
        <w:rPr>
          <w:rFonts w:ascii="Tenorite" w:eastAsia="Times New Roman" w:hAnsi="Tenorite" w:cs="Times New Roman"/>
          <w:b/>
          <w:bCs/>
          <w:i/>
          <w:iCs/>
          <w:szCs w:val="22"/>
          <w:lang w:eastAsia="fr-FR"/>
        </w:rPr>
        <w:t>Maladies des porcins</w:t>
      </w:r>
    </w:p>
    <w:p w14:paraId="1F89D4BF" w14:textId="77777777" w:rsidR="00AB4A41" w:rsidRPr="00AB4A41" w:rsidRDefault="00AB4A41" w:rsidP="00AB4A41">
      <w:pPr>
        <w:pStyle w:val="Textebrut"/>
        <w:ind w:left="142"/>
        <w:jc w:val="both"/>
        <w:rPr>
          <w:rFonts w:ascii="Tenorite" w:hAnsi="Tenorite"/>
          <w:szCs w:val="22"/>
        </w:rPr>
      </w:pPr>
      <w:hyperlink r:id="rId49" w:history="1">
        <w:r w:rsidRPr="00AB4A41">
          <w:rPr>
            <w:rStyle w:val="Lienhypertexte"/>
            <w:rFonts w:ascii="Tenorite" w:hAnsi="Tenorite"/>
            <w:color w:val="auto"/>
            <w:szCs w:val="22"/>
          </w:rPr>
          <w:t>Règlement</w:t>
        </w:r>
      </w:hyperlink>
      <w:r w:rsidRPr="00AB4A41">
        <w:rPr>
          <w:rFonts w:ascii="Tenorite" w:hAnsi="Tenorite"/>
          <w:szCs w:val="22"/>
        </w:rPr>
        <w:t xml:space="preserve"> d’exécution (UE) 2025/268 de la Commission du 4 février 2025 modifiant l’annexe I du règlement d’exécution (UE) 2023/594 établissant des mesures spéciales de lutte contre la peste porcine africaine (JOUE 06/02/2025)</w:t>
      </w:r>
    </w:p>
    <w:p w14:paraId="73F0D992" w14:textId="77777777" w:rsidR="00BF7E56" w:rsidRPr="00AB4A41" w:rsidRDefault="00BF7E56" w:rsidP="00AB4A41">
      <w:pPr>
        <w:shd w:val="clear" w:color="auto" w:fill="FFFFFF"/>
        <w:spacing w:after="0" w:line="240" w:lineRule="auto"/>
        <w:ind w:left="142"/>
        <w:jc w:val="both"/>
        <w:rPr>
          <w:rFonts w:ascii="Tenorite" w:hAnsi="Tenorite"/>
        </w:rPr>
      </w:pPr>
    </w:p>
    <w:p w14:paraId="162B70EA" w14:textId="7A3726EC" w:rsidR="00BF7E56" w:rsidRPr="00AB4A41" w:rsidRDefault="00BF7E56" w:rsidP="00AB4A41">
      <w:pPr>
        <w:pStyle w:val="Textebrut"/>
        <w:ind w:left="142"/>
        <w:jc w:val="both"/>
        <w:rPr>
          <w:rFonts w:ascii="Tenorite" w:eastAsia="Times New Roman" w:hAnsi="Tenorite" w:cs="Times New Roman"/>
          <w:b/>
          <w:bCs/>
          <w:i/>
          <w:iCs/>
          <w:szCs w:val="22"/>
          <w:lang w:eastAsia="fr-FR"/>
        </w:rPr>
      </w:pPr>
      <w:r w:rsidRPr="00AB4A41">
        <w:rPr>
          <w:rFonts w:ascii="Tenorite" w:eastAsia="Times New Roman" w:hAnsi="Tenorite" w:cs="Times New Roman"/>
          <w:b/>
          <w:bCs/>
          <w:i/>
          <w:iCs/>
          <w:szCs w:val="22"/>
          <w:lang w:eastAsia="fr-FR"/>
        </w:rPr>
        <w:t xml:space="preserve">Maladies multi espèces </w:t>
      </w:r>
    </w:p>
    <w:p w14:paraId="03848DEB" w14:textId="77777777" w:rsidR="00AB4A41" w:rsidRPr="00AB4A41" w:rsidRDefault="00AB4A41" w:rsidP="00AB4A41">
      <w:pPr>
        <w:pStyle w:val="Textebrut"/>
        <w:ind w:left="142"/>
        <w:jc w:val="both"/>
        <w:rPr>
          <w:rFonts w:ascii="Tenorite" w:hAnsi="Tenorite"/>
          <w:szCs w:val="22"/>
        </w:rPr>
      </w:pPr>
      <w:hyperlink r:id="rId50" w:history="1">
        <w:r w:rsidRPr="00AB4A41">
          <w:rPr>
            <w:rStyle w:val="Lienhypertexte"/>
            <w:rFonts w:ascii="Tenorite" w:hAnsi="Tenorite"/>
            <w:color w:val="auto"/>
            <w:szCs w:val="22"/>
          </w:rPr>
          <w:t>Décision</w:t>
        </w:r>
      </w:hyperlink>
      <w:r w:rsidRPr="00AB4A41">
        <w:rPr>
          <w:rFonts w:ascii="Tenorite" w:hAnsi="Tenorite"/>
          <w:szCs w:val="22"/>
        </w:rPr>
        <w:t xml:space="preserve"> (UE) 2025/323 de la Commission du 11 février 2025 concernant certaines mesures d’urgence contre la fièvre aphteuse en Allemagne et abrogeant la décision d’exécution (UE) 2025/186 (JOUE 12/02/2025)</w:t>
      </w:r>
    </w:p>
    <w:p w14:paraId="6E3B7E88" w14:textId="77777777" w:rsidR="00AB4A41" w:rsidRPr="00AB4A41" w:rsidRDefault="00AB4A41" w:rsidP="00AB4A41">
      <w:pPr>
        <w:pStyle w:val="Textebrut"/>
        <w:ind w:left="142"/>
        <w:jc w:val="both"/>
        <w:rPr>
          <w:rFonts w:ascii="Tenorite" w:hAnsi="Tenorite"/>
          <w:szCs w:val="22"/>
        </w:rPr>
      </w:pPr>
    </w:p>
    <w:p w14:paraId="0F45219A" w14:textId="77777777" w:rsidR="00AB4A41" w:rsidRPr="00AB4A41" w:rsidRDefault="00AB4A41" w:rsidP="00AB4A41">
      <w:pPr>
        <w:pStyle w:val="Textebrut"/>
        <w:ind w:left="142"/>
        <w:jc w:val="both"/>
        <w:rPr>
          <w:rFonts w:ascii="Tenorite" w:hAnsi="Tenorite"/>
          <w:szCs w:val="22"/>
        </w:rPr>
      </w:pPr>
      <w:hyperlink r:id="rId51" w:history="1">
        <w:r w:rsidRPr="00AB4A41">
          <w:rPr>
            <w:rStyle w:val="Lienhypertexte"/>
            <w:rFonts w:ascii="Tenorite" w:hAnsi="Tenorite"/>
            <w:color w:val="auto"/>
            <w:szCs w:val="22"/>
          </w:rPr>
          <w:t>Règlement</w:t>
        </w:r>
      </w:hyperlink>
      <w:r w:rsidRPr="00AB4A41">
        <w:rPr>
          <w:rFonts w:ascii="Tenorite" w:hAnsi="Tenorite"/>
          <w:szCs w:val="22"/>
        </w:rPr>
        <w:t xml:space="preserve"> d’exécution (UE) 2025/330 de la Commission du 19 février 2025 modifiant les annexes VIII et XI du règlement d’exécution (UE) 2021/620 en ce qui concerne l’approbation ou le retrait du statut indemne de maladie de certains États membres ou de zones de ceux-ci au regard de certaines maladies répertoriées et l’approbation de programmes d’éradication de certaines maladies répertoriées (JOUE 20/02/2025)</w:t>
      </w:r>
    </w:p>
    <w:p w14:paraId="61F9A4F0" w14:textId="77777777" w:rsidR="00AB4A41" w:rsidRPr="00AB4A41" w:rsidRDefault="00BF7E56" w:rsidP="00AB4A41">
      <w:pPr>
        <w:pStyle w:val="Textebrut"/>
        <w:ind w:left="142"/>
        <w:jc w:val="both"/>
        <w:rPr>
          <w:rFonts w:ascii="Tenorite" w:hAnsi="Tenorite"/>
          <w:szCs w:val="22"/>
        </w:rPr>
      </w:pPr>
      <w:r w:rsidRPr="00AB4A41">
        <w:rPr>
          <w:rFonts w:ascii="Tenorite" w:hAnsi="Tenorite"/>
          <w:szCs w:val="22"/>
        </w:rPr>
        <w:br/>
      </w:r>
      <w:hyperlink r:id="rId52" w:history="1">
        <w:r w:rsidR="00AB4A41" w:rsidRPr="00AB4A41">
          <w:rPr>
            <w:rStyle w:val="Lienhypertexte"/>
            <w:rFonts w:ascii="Tenorite" w:hAnsi="Tenorite"/>
            <w:color w:val="auto"/>
            <w:szCs w:val="22"/>
          </w:rPr>
          <w:t>Règlement</w:t>
        </w:r>
      </w:hyperlink>
      <w:r w:rsidR="00AB4A41" w:rsidRPr="00AB4A41">
        <w:rPr>
          <w:rFonts w:ascii="Tenorite" w:hAnsi="Tenorite"/>
          <w:szCs w:val="22"/>
        </w:rPr>
        <w:t xml:space="preserve"> d’exécution (UE) 2025/328 de la Commission du 19 février 2025 modifiant l’annexe VIII du règlement (CE) no 999/2001 du Parlement européen et du Conseil en ce qui concerne la reconnaissance à la Slovénie du statut de risque négligeable de tremblante classique (JOUE 20/02/2025)</w:t>
      </w:r>
    </w:p>
    <w:p w14:paraId="3AE88330" w14:textId="77777777" w:rsidR="002D18D8" w:rsidRPr="00AB4A41" w:rsidRDefault="002D18D8" w:rsidP="00AB4A41">
      <w:pPr>
        <w:pStyle w:val="Textebrut"/>
        <w:ind w:left="142"/>
        <w:jc w:val="both"/>
        <w:rPr>
          <w:rFonts w:ascii="Tenorite" w:hAnsi="Tenorite"/>
          <w:szCs w:val="22"/>
        </w:rPr>
      </w:pPr>
    </w:p>
    <w:p w14:paraId="71AB1618" w14:textId="25C119C5" w:rsidR="00D025D4" w:rsidRPr="00AB4A41" w:rsidRDefault="00D025D4" w:rsidP="00AB4A41">
      <w:pPr>
        <w:spacing w:after="0" w:line="240" w:lineRule="auto"/>
        <w:ind w:left="142"/>
        <w:jc w:val="both"/>
        <w:rPr>
          <w:rFonts w:ascii="Tenorite" w:hAnsi="Tenorite"/>
          <w:color w:val="C45911" w:themeColor="accent2" w:themeShade="BF"/>
        </w:rPr>
      </w:pPr>
      <w:r w:rsidRPr="00AB4A41">
        <w:rPr>
          <w:rFonts w:ascii="Tenorite" w:hAnsi="Tenorite"/>
          <w:color w:val="C45911" w:themeColor="accent2" w:themeShade="BF"/>
        </w:rPr>
        <w:t>Produits à base de viande</w:t>
      </w:r>
      <w:r w:rsidR="00E92909">
        <w:rPr>
          <w:rFonts w:ascii="Tenorite" w:hAnsi="Tenorite"/>
          <w:color w:val="C45911" w:themeColor="accent2" w:themeShade="BF"/>
        </w:rPr>
        <w:t xml:space="preserve"> /</w:t>
      </w:r>
    </w:p>
    <w:p w14:paraId="4B7B7C52" w14:textId="1A2BDF51" w:rsidR="00D025D4" w:rsidRPr="00AB4A41" w:rsidRDefault="00D025D4" w:rsidP="00AB4A41">
      <w:pPr>
        <w:spacing w:after="0" w:line="240" w:lineRule="auto"/>
        <w:ind w:left="142"/>
        <w:jc w:val="both"/>
        <w:rPr>
          <w:rFonts w:ascii="Tenorite" w:hAnsi="Tenorite"/>
          <w:color w:val="C45911" w:themeColor="accent2" w:themeShade="BF"/>
        </w:rPr>
      </w:pPr>
      <w:r w:rsidRPr="00AB4A41">
        <w:rPr>
          <w:rFonts w:ascii="Tenorite" w:hAnsi="Tenorite"/>
          <w:color w:val="C45911" w:themeColor="accent2" w:themeShade="BF"/>
        </w:rPr>
        <w:t>Sécurité sanitaire</w:t>
      </w:r>
      <w:r w:rsidR="00E92909">
        <w:rPr>
          <w:rFonts w:ascii="Tenorite" w:hAnsi="Tenorite"/>
          <w:color w:val="C45911" w:themeColor="accent2" w:themeShade="BF"/>
        </w:rPr>
        <w:t xml:space="preserve"> /</w:t>
      </w:r>
    </w:p>
    <w:p w14:paraId="3C68D160" w14:textId="77777777" w:rsidR="000C0DEF" w:rsidRPr="002D18D8" w:rsidRDefault="000C0DEF" w:rsidP="002D18D8">
      <w:pPr>
        <w:spacing w:after="0" w:line="240" w:lineRule="auto"/>
        <w:ind w:left="142"/>
        <w:rPr>
          <w:rFonts w:ascii="Tenorite" w:hAnsi="Tenorite"/>
        </w:rPr>
      </w:pPr>
    </w:p>
    <w:sectPr w:rsidR="000C0DEF" w:rsidRPr="002D18D8" w:rsidSect="000C0DEF">
      <w:headerReference w:type="even" r:id="rId53"/>
      <w:headerReference w:type="default" r:id="rId54"/>
      <w:footerReference w:type="even" r:id="rId55"/>
      <w:footerReference w:type="default" r:id="rId56"/>
      <w:headerReference w:type="first" r:id="rId57"/>
      <w:footerReference w:type="first" r:id="rId58"/>
      <w:pgSz w:w="11906" w:h="16838"/>
      <w:pgMar w:top="1417" w:right="282" w:bottom="1417" w:left="426" w:header="284"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07C702" w14:textId="77777777" w:rsidR="0097481F" w:rsidRDefault="0097481F" w:rsidP="000C0DEF">
      <w:pPr>
        <w:spacing w:after="0" w:line="240" w:lineRule="auto"/>
      </w:pPr>
      <w:r>
        <w:separator/>
      </w:r>
    </w:p>
  </w:endnote>
  <w:endnote w:type="continuationSeparator" w:id="0">
    <w:p w14:paraId="4F9752C5" w14:textId="77777777" w:rsidR="0097481F" w:rsidRDefault="0097481F" w:rsidP="000C0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enorite">
    <w:charset w:val="00"/>
    <w:family w:val="auto"/>
    <w:pitch w:val="variable"/>
    <w:sig w:usb0="80000003" w:usb1="00000001" w:usb2="00000000" w:usb3="00000000" w:csb0="0000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009DA" w14:textId="77777777" w:rsidR="00EC3176" w:rsidRDefault="00EC3176">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0144275"/>
      <w:docPartObj>
        <w:docPartGallery w:val="Page Numbers (Bottom of Page)"/>
        <w:docPartUnique/>
      </w:docPartObj>
    </w:sdtPr>
    <w:sdtEndPr/>
    <w:sdtContent>
      <w:p w14:paraId="4E563226" w14:textId="4113DA08" w:rsidR="000C0DEF" w:rsidRDefault="00E92909" w:rsidP="000C0DEF">
        <w:pPr>
          <w:pStyle w:val="Pieddepage"/>
          <w:ind w:right="141"/>
          <w:jc w:val="right"/>
        </w:pPr>
        <w:r>
          <w:t xml:space="preserve">Page </w:t>
        </w:r>
        <w:r>
          <w:rPr>
            <w:b/>
            <w:bCs/>
          </w:rPr>
          <w:fldChar w:fldCharType="begin"/>
        </w:r>
        <w:r>
          <w:rPr>
            <w:b/>
            <w:bCs/>
          </w:rPr>
          <w:instrText>PAGE  \* Arabic  \* MERGEFORMAT</w:instrText>
        </w:r>
        <w:r>
          <w:rPr>
            <w:b/>
            <w:bCs/>
          </w:rPr>
          <w:fldChar w:fldCharType="separate"/>
        </w:r>
        <w:r>
          <w:rPr>
            <w:b/>
            <w:bCs/>
          </w:rPr>
          <w:t>1</w:t>
        </w:r>
        <w:r>
          <w:rPr>
            <w:b/>
            <w:bCs/>
          </w:rPr>
          <w:fldChar w:fldCharType="end"/>
        </w:r>
        <w:r>
          <w:t xml:space="preserve"> sur </w:t>
        </w:r>
        <w:r>
          <w:rPr>
            <w:b/>
            <w:bCs/>
          </w:rPr>
          <w:fldChar w:fldCharType="begin"/>
        </w:r>
        <w:r>
          <w:rPr>
            <w:b/>
            <w:bCs/>
          </w:rPr>
          <w:instrText>NUMPAGES  \* Arabic  \* MERGEFORMAT</w:instrText>
        </w:r>
        <w:r>
          <w:rPr>
            <w:b/>
            <w:bCs/>
          </w:rPr>
          <w:fldChar w:fldCharType="separate"/>
        </w:r>
        <w:r>
          <w:rPr>
            <w:b/>
            <w:bCs/>
          </w:rPr>
          <w:t>2</w:t>
        </w:r>
        <w:r>
          <w:rPr>
            <w:b/>
            <w:bCs/>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51073" w14:textId="77777777" w:rsidR="00EC3176" w:rsidRDefault="00EC317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D456E5" w14:textId="77777777" w:rsidR="0097481F" w:rsidRDefault="0097481F" w:rsidP="000C0DEF">
      <w:pPr>
        <w:spacing w:after="0" w:line="240" w:lineRule="auto"/>
      </w:pPr>
      <w:r>
        <w:separator/>
      </w:r>
    </w:p>
  </w:footnote>
  <w:footnote w:type="continuationSeparator" w:id="0">
    <w:p w14:paraId="057B9222" w14:textId="77777777" w:rsidR="0097481F" w:rsidRDefault="0097481F" w:rsidP="000C0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5FE77" w14:textId="77777777" w:rsidR="000C0DEF" w:rsidRDefault="00F23101">
    <w:pPr>
      <w:pStyle w:val="En-tte"/>
    </w:pPr>
    <w:r>
      <w:rPr>
        <w:noProof/>
        <w:lang w:eastAsia="fr-FR"/>
      </w:rPr>
      <w:pict w14:anchorId="78F4B2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3" o:spid="_x0000_s1032" type="#_x0000_t75" style="position:absolute;margin-left:0;margin-top:0;width:559.55pt;height:387.35pt;z-index:-251650048;mso-position-horizontal:center;mso-position-horizontal-relative:margin;mso-position-vertical:center;mso-position-vertical-relative:margin" o:allowincell="f">
          <v:imagedata r:id="rId1" o:title="filigramme sourire FI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77297" w14:textId="13307A87" w:rsidR="000C0DEF" w:rsidRPr="000C0DEF" w:rsidRDefault="00F23101" w:rsidP="005F3EA3">
    <w:pPr>
      <w:pStyle w:val="En-tte"/>
    </w:pPr>
    <w:r>
      <w:rPr>
        <w:noProof/>
        <w:lang w:eastAsia="fr-FR"/>
      </w:rPr>
      <w:pict w14:anchorId="5E80F6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4" o:spid="_x0000_s1033" type="#_x0000_t75" style="position:absolute;margin-left:0;margin-top:0;width:559.55pt;height:387.35pt;z-index:-251649024;mso-position-horizontal:center;mso-position-horizontal-relative:margin;mso-position-vertical:center;mso-position-vertical-relative:margin" o:allowincell="f">
          <v:imagedata r:id="rId1" o:title="filigramme sourire FIP"/>
          <w10:wrap anchorx="margin" anchory="margin"/>
        </v:shape>
      </w:pict>
    </w:r>
    <w:r w:rsidR="00EC3176">
      <w:rPr>
        <w:rFonts w:ascii="Verdana" w:eastAsia="Times New Roman" w:hAnsi="Verdana" w:cs="Times New Roman"/>
        <w:noProof/>
        <w:sz w:val="20"/>
        <w:szCs w:val="20"/>
        <w:lang w:eastAsia="fr-FR"/>
      </w:rPr>
      <w:drawing>
        <wp:anchor distT="0" distB="0" distL="114300" distR="114300" simplePos="0" relativeHeight="251672576" behindDoc="0" locked="0" layoutInCell="1" allowOverlap="1" wp14:anchorId="52F85A99" wp14:editId="1CB87AB3">
          <wp:simplePos x="0" y="0"/>
          <wp:positionH relativeFrom="column">
            <wp:posOffset>0</wp:posOffset>
          </wp:positionH>
          <wp:positionV relativeFrom="paragraph">
            <wp:posOffset>-635</wp:posOffset>
          </wp:positionV>
          <wp:extent cx="518287" cy="633039"/>
          <wp:effectExtent l="0" t="0" r="0" b="0"/>
          <wp:wrapNone/>
          <wp:docPr id="2006680919" name="Image 2006680919"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 Police, Graphique, logo&#10;&#10;Description générée automatiquement"/>
                  <pic:cNvPicPr/>
                </pic:nvPicPr>
                <pic:blipFill>
                  <a:blip r:embed="rId2" cstate="print">
                    <a:extLst>
                      <a:ext uri="{28A0092B-C50C-407E-A947-70E740481C1C}">
                        <a14:useLocalDpi xmlns:a14="http://schemas.microsoft.com/office/drawing/2010/main" val="0"/>
                      </a:ext>
                    </a:extLst>
                  </a:blip>
                  <a:stretch>
                    <a:fillRect/>
                  </a:stretch>
                </pic:blipFill>
                <pic:spPr>
                  <a:xfrm>
                    <a:off x="0" y="0"/>
                    <a:ext cx="518287" cy="633039"/>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A6AD3F" w14:textId="77777777" w:rsidR="000C0DEF" w:rsidRDefault="00F23101">
    <w:pPr>
      <w:pStyle w:val="En-tte"/>
    </w:pPr>
    <w:r>
      <w:rPr>
        <w:noProof/>
        <w:lang w:eastAsia="fr-FR"/>
      </w:rPr>
      <w:pict w14:anchorId="0C674F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2" o:spid="_x0000_s1031" type="#_x0000_t75" style="position:absolute;margin-left:0;margin-top:0;width:559.55pt;height:387.35pt;z-index:-251651072;mso-position-horizontal:center;mso-position-horizontal-relative:margin;mso-position-vertical:center;mso-position-vertical-relative:margin" o:allowincell="f">
          <v:imagedata r:id="rId1" o:title="filigramme sourire FIP"/>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DEF"/>
    <w:rsid w:val="00042D5D"/>
    <w:rsid w:val="000838E9"/>
    <w:rsid w:val="000C0DEF"/>
    <w:rsid w:val="000F69DA"/>
    <w:rsid w:val="00120F64"/>
    <w:rsid w:val="0012180A"/>
    <w:rsid w:val="0013368A"/>
    <w:rsid w:val="00147FD7"/>
    <w:rsid w:val="001B42BB"/>
    <w:rsid w:val="002B7CB6"/>
    <w:rsid w:val="002D18D8"/>
    <w:rsid w:val="002D342B"/>
    <w:rsid w:val="002F17D1"/>
    <w:rsid w:val="003060EC"/>
    <w:rsid w:val="0032785F"/>
    <w:rsid w:val="003E58C5"/>
    <w:rsid w:val="00571D36"/>
    <w:rsid w:val="00582498"/>
    <w:rsid w:val="005F3EA3"/>
    <w:rsid w:val="005F79C3"/>
    <w:rsid w:val="00666EAA"/>
    <w:rsid w:val="00691559"/>
    <w:rsid w:val="006B1F01"/>
    <w:rsid w:val="00767DBA"/>
    <w:rsid w:val="0084257F"/>
    <w:rsid w:val="008B454D"/>
    <w:rsid w:val="008B7919"/>
    <w:rsid w:val="008C0BA9"/>
    <w:rsid w:val="008D6F0B"/>
    <w:rsid w:val="00901715"/>
    <w:rsid w:val="00930E35"/>
    <w:rsid w:val="0097481F"/>
    <w:rsid w:val="00980424"/>
    <w:rsid w:val="009915F4"/>
    <w:rsid w:val="00A13433"/>
    <w:rsid w:val="00AB4A41"/>
    <w:rsid w:val="00AB53A2"/>
    <w:rsid w:val="00AF28F1"/>
    <w:rsid w:val="00B83C3A"/>
    <w:rsid w:val="00BF1263"/>
    <w:rsid w:val="00BF7342"/>
    <w:rsid w:val="00BF7E56"/>
    <w:rsid w:val="00C2622D"/>
    <w:rsid w:val="00CC7D65"/>
    <w:rsid w:val="00D025D4"/>
    <w:rsid w:val="00DC1597"/>
    <w:rsid w:val="00E464D9"/>
    <w:rsid w:val="00E92909"/>
    <w:rsid w:val="00EC3176"/>
    <w:rsid w:val="00F23101"/>
    <w:rsid w:val="00F30914"/>
    <w:rsid w:val="00F3638F"/>
    <w:rsid w:val="00F42579"/>
    <w:rsid w:val="00F74CE4"/>
    <w:rsid w:val="00FB67EF"/>
    <w:rsid w:val="00FD42BB"/>
    <w:rsid w:val="00FD6BF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1EED49"/>
  <w15:chartTrackingRefBased/>
  <w15:docId w15:val="{2ED18064-B024-4767-9D3D-DD0107E5B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0D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unhideWhenUsed/>
    <w:qFormat/>
    <w:rsid w:val="000C0DE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0DEF"/>
    <w:pPr>
      <w:tabs>
        <w:tab w:val="center" w:pos="4536"/>
        <w:tab w:val="right" w:pos="9072"/>
      </w:tabs>
      <w:spacing w:after="0" w:line="240" w:lineRule="auto"/>
    </w:pPr>
  </w:style>
  <w:style w:type="character" w:customStyle="1" w:styleId="En-tteCar">
    <w:name w:val="En-tête Car"/>
    <w:basedOn w:val="Policepardfaut"/>
    <w:link w:val="En-tte"/>
    <w:uiPriority w:val="99"/>
    <w:rsid w:val="000C0DEF"/>
  </w:style>
  <w:style w:type="paragraph" w:styleId="Pieddepage">
    <w:name w:val="footer"/>
    <w:basedOn w:val="Normal"/>
    <w:link w:val="PieddepageCar"/>
    <w:uiPriority w:val="99"/>
    <w:unhideWhenUsed/>
    <w:rsid w:val="000C0DE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0DEF"/>
  </w:style>
  <w:style w:type="character" w:customStyle="1" w:styleId="Titre3Car">
    <w:name w:val="Titre 3 Car"/>
    <w:basedOn w:val="Policepardfaut"/>
    <w:link w:val="Titre3"/>
    <w:uiPriority w:val="9"/>
    <w:rsid w:val="000C0DEF"/>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0C0DEF"/>
    <w:rPr>
      <w:rFonts w:asciiTheme="majorHAnsi" w:eastAsiaTheme="majorEastAsia" w:hAnsiTheme="majorHAnsi" w:cstheme="majorBidi"/>
      <w:color w:val="2E74B5" w:themeColor="accent1" w:themeShade="BF"/>
      <w:sz w:val="32"/>
      <w:szCs w:val="32"/>
    </w:rPr>
  </w:style>
  <w:style w:type="character" w:styleId="Lienhypertexte">
    <w:name w:val="Hyperlink"/>
    <w:unhideWhenUsed/>
    <w:rsid w:val="00F74CE4"/>
    <w:rPr>
      <w:strike w:val="0"/>
      <w:dstrike w:val="0"/>
      <w:color w:val="0000FF"/>
      <w:u w:val="none"/>
      <w:effect w:val="none"/>
    </w:rPr>
  </w:style>
  <w:style w:type="paragraph" w:styleId="Textebrut">
    <w:name w:val="Plain Text"/>
    <w:basedOn w:val="Normal"/>
    <w:link w:val="TextebrutCar"/>
    <w:uiPriority w:val="99"/>
    <w:unhideWhenUsed/>
    <w:rsid w:val="00F74CE4"/>
    <w:pPr>
      <w:spacing w:after="0" w:line="240" w:lineRule="auto"/>
    </w:pPr>
    <w:rPr>
      <w:rFonts w:ascii="Calibri" w:hAnsi="Calibri"/>
      <w:szCs w:val="21"/>
    </w:rPr>
  </w:style>
  <w:style w:type="character" w:customStyle="1" w:styleId="TextebrutCar">
    <w:name w:val="Texte brut Car"/>
    <w:basedOn w:val="Policepardfaut"/>
    <w:link w:val="Textebrut"/>
    <w:uiPriority w:val="99"/>
    <w:rsid w:val="00F74CE4"/>
    <w:rPr>
      <w:rFonts w:ascii="Calibri" w:hAnsi="Calibri"/>
      <w:szCs w:val="21"/>
    </w:rPr>
  </w:style>
  <w:style w:type="character" w:styleId="Lienhypertextesuivivisit">
    <w:name w:val="FollowedHyperlink"/>
    <w:basedOn w:val="Policepardfaut"/>
    <w:uiPriority w:val="99"/>
    <w:semiHidden/>
    <w:unhideWhenUsed/>
    <w:rsid w:val="00AB53A2"/>
    <w:rPr>
      <w:color w:val="954F72" w:themeColor="followedHyperlink"/>
      <w:u w:val="single"/>
    </w:rPr>
  </w:style>
  <w:style w:type="character" w:customStyle="1" w:styleId="badge-envigueur">
    <w:name w:val="badge-envigueur"/>
    <w:basedOn w:val="Policepardfaut"/>
    <w:rsid w:val="00120F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ur-lex.europa.eu/legal-content/FR/TXT/PDF/?uri=OJ:C_202500949" TargetMode="External"/><Relationship Id="rId18" Type="http://schemas.openxmlformats.org/officeDocument/2006/relationships/hyperlink" Target="https://eur-lex.europa.eu/legal-content/FR/TXT/PDF/?uri=OJ:L_202500349" TargetMode="External"/><Relationship Id="rId26" Type="http://schemas.openxmlformats.org/officeDocument/2006/relationships/hyperlink" Target="https://www.plateforme-sca.fr/ndeg126-07-fevrier-2026" TargetMode="External"/><Relationship Id="rId39" Type="http://schemas.openxmlformats.org/officeDocument/2006/relationships/hyperlink" Target="https://anses.fr/fr/system/files/SABA2024-SA-0135.pdf" TargetMode="External"/><Relationship Id="rId21" Type="http://schemas.openxmlformats.org/officeDocument/2006/relationships/hyperlink" Target="https://eur-lex.europa.eu/legal-content/FR/TXT/PDF/?uri=OJ:L_202500360" TargetMode="External"/><Relationship Id="rId34" Type="http://schemas.openxmlformats.org/officeDocument/2006/relationships/hyperlink" Target="https://eur-lex.europa.eu/legal-content/FR/TXT/PDF/?uri=OJ:L_202500350" TargetMode="External"/><Relationship Id="rId42" Type="http://schemas.openxmlformats.org/officeDocument/2006/relationships/hyperlink" Target="https://eur-lex.europa.eu/legal-content/FR/TXT/PDF/?uri=OJ:L_202500384" TargetMode="External"/><Relationship Id="rId47" Type="http://schemas.openxmlformats.org/officeDocument/2006/relationships/hyperlink" Target="https://eur-lex.europa.eu/legal-content/FR/TXT/PDF/?uri=OJ:L_202500270" TargetMode="External"/><Relationship Id="rId50" Type="http://schemas.openxmlformats.org/officeDocument/2006/relationships/hyperlink" Target="https://eur-lex.europa.eu/legal-content/FR/TXT/PDF/?uri=OJ:L_202500323" TargetMode="External"/><Relationship Id="rId55" Type="http://schemas.openxmlformats.org/officeDocument/2006/relationships/footer" Target="footer1.xml"/><Relationship Id="rId7" Type="http://schemas.openxmlformats.org/officeDocument/2006/relationships/hyperlink" Target="https://www.legifrance.gouv.fr/jorf/id/JORFTEXT000051170366" TargetMode="External"/><Relationship Id="rId2" Type="http://schemas.openxmlformats.org/officeDocument/2006/relationships/styles" Target="styles.xml"/><Relationship Id="rId16" Type="http://schemas.openxmlformats.org/officeDocument/2006/relationships/hyperlink" Target="https://eur-lex.europa.eu/legal-content/FR/TXT/PDF/?uri=OJ:L_202500223" TargetMode="External"/><Relationship Id="rId29" Type="http://schemas.openxmlformats.org/officeDocument/2006/relationships/hyperlink" Target="https://eur-lex.europa.eu/legal-content/FR/TXT/PDF/?uri=OJ:L_202500179" TargetMode="External"/><Relationship Id="rId11" Type="http://schemas.openxmlformats.org/officeDocument/2006/relationships/hyperlink" Target="https://info.agriculture.gouv.fr/boagri/instruction-2025-94" TargetMode="External"/><Relationship Id="rId24" Type="http://schemas.openxmlformats.org/officeDocument/2006/relationships/hyperlink" Target="https://www.legifrance.gouv.fr/jorf/id/JORFTEXT000051260902" TargetMode="External"/><Relationship Id="rId32" Type="http://schemas.openxmlformats.org/officeDocument/2006/relationships/hyperlink" Target="https://eur-lex.europa.eu/legal-content/FR/TXT/PDF/?uri=OJ:C_202500946" TargetMode="External"/><Relationship Id="rId37" Type="http://schemas.openxmlformats.org/officeDocument/2006/relationships/hyperlink" Target="https://www.legifrance.gouv.fr/jorf/id/JORFTEXT000051187015" TargetMode="External"/><Relationship Id="rId40" Type="http://schemas.openxmlformats.org/officeDocument/2006/relationships/hyperlink" Target="https://www.legifrance.gouv.fr/jorf/id/JORFTEXT000051170390" TargetMode="External"/><Relationship Id="rId45" Type="http://schemas.openxmlformats.org/officeDocument/2006/relationships/hyperlink" Target="https://eur-lex.europa.eu/legal-content/FR/TXT/PDF/?uri=OJ:L_202500213" TargetMode="External"/><Relationship Id="rId53" Type="http://schemas.openxmlformats.org/officeDocument/2006/relationships/header" Target="header1.xml"/><Relationship Id="rId58" Type="http://schemas.openxmlformats.org/officeDocument/2006/relationships/footer" Target="footer3.xml"/><Relationship Id="rId5" Type="http://schemas.openxmlformats.org/officeDocument/2006/relationships/footnotes" Target="footnotes.xml"/><Relationship Id="rId19" Type="http://schemas.openxmlformats.org/officeDocument/2006/relationships/hyperlink" Target="https://eur-lex.europa.eu/legal-content/FR/TXT/PDF/?uri=OJ:L_202500357" TargetMode="External"/><Relationship Id="rId4" Type="http://schemas.openxmlformats.org/officeDocument/2006/relationships/webSettings" Target="webSettings.xml"/><Relationship Id="rId9" Type="http://schemas.openxmlformats.org/officeDocument/2006/relationships/hyperlink" Target="https://info.agriculture.gouv.fr/boagri/instruction-2025-71" TargetMode="External"/><Relationship Id="rId14" Type="http://schemas.openxmlformats.org/officeDocument/2006/relationships/hyperlink" Target="https://eur-lex.europa.eu/legal-content/FR/TXT/PDF/?uri=OJ:L_202500221" TargetMode="External"/><Relationship Id="rId22" Type="http://schemas.openxmlformats.org/officeDocument/2006/relationships/hyperlink" Target="https://eur-lex.europa.eu/legal-content/FR/TXT/PDF/?uri=OJ:L_202500195" TargetMode="External"/><Relationship Id="rId27" Type="http://schemas.openxmlformats.org/officeDocument/2006/relationships/hyperlink" Target="https://www.plateforme-sca.fr/ndeg127-20-fevrier-2025" TargetMode="External"/><Relationship Id="rId30" Type="http://schemas.openxmlformats.org/officeDocument/2006/relationships/hyperlink" Target="https://knowledge4policy.ec.europa.eu/sites/default/files/202501_1.pdf" TargetMode="External"/><Relationship Id="rId35" Type="http://schemas.openxmlformats.org/officeDocument/2006/relationships/hyperlink" Target="https://www.legifrance.gouv.fr/jorf/id/JORFTEXT000051156799" TargetMode="External"/><Relationship Id="rId43" Type="http://schemas.openxmlformats.org/officeDocument/2006/relationships/hyperlink" Target="https://eur-lex.europa.eu/legal-content/FR/TXT/PDF/?uri=OJ:L_202500383" TargetMode="External"/><Relationship Id="rId48" Type="http://schemas.openxmlformats.org/officeDocument/2006/relationships/hyperlink" Target="https://eur-lex.europa.eu/legal-content/FR/TXT/PDF/?uri=OJ:L_202500321" TargetMode="External"/><Relationship Id="rId56" Type="http://schemas.openxmlformats.org/officeDocument/2006/relationships/footer" Target="footer2.xml"/><Relationship Id="rId8" Type="http://schemas.openxmlformats.org/officeDocument/2006/relationships/hyperlink" Target="https://info.agriculture.gouv.fr/boagri/instruction-2025-75" TargetMode="External"/><Relationship Id="rId51" Type="http://schemas.openxmlformats.org/officeDocument/2006/relationships/hyperlink" Target="https://eur-lex.europa.eu/legal-content/FR/TXT/PDF/?uri=OJ:L_202500330" TargetMode="External"/><Relationship Id="rId3" Type="http://schemas.openxmlformats.org/officeDocument/2006/relationships/settings" Target="settings.xml"/><Relationship Id="rId12" Type="http://schemas.openxmlformats.org/officeDocument/2006/relationships/hyperlink" Target="https://eur-lex.europa.eu/legal-content/FR/TXT/PDF/?uri=OJ:C_202500948" TargetMode="External"/><Relationship Id="rId17" Type="http://schemas.openxmlformats.org/officeDocument/2006/relationships/hyperlink" Target="https://eur-lex.europa.eu/legal-content/FR/TXT/PDF/?uri=OJ:L_202500285" TargetMode="External"/><Relationship Id="rId25" Type="http://schemas.openxmlformats.org/officeDocument/2006/relationships/hyperlink" Target="https://info.agriculture.gouv.fr/boagri/instruction-2025-78" TargetMode="External"/><Relationship Id="rId33" Type="http://schemas.openxmlformats.org/officeDocument/2006/relationships/hyperlink" Target="https://anses.fr/fr/system/files/NUT2024-AST-0087.pdf" TargetMode="External"/><Relationship Id="rId38" Type="http://schemas.openxmlformats.org/officeDocument/2006/relationships/hyperlink" Target="https://anses.fr/fr/system/files/BIORISK2023-SA-0071.pdf" TargetMode="External"/><Relationship Id="rId46" Type="http://schemas.openxmlformats.org/officeDocument/2006/relationships/hyperlink" Target="https://eur-lex.europa.eu/legal-content/FR/TXT/PDF/?uri=OJ:L_202500423" TargetMode="External"/><Relationship Id="rId59" Type="http://schemas.openxmlformats.org/officeDocument/2006/relationships/fontTable" Target="fontTable.xml"/><Relationship Id="rId20" Type="http://schemas.openxmlformats.org/officeDocument/2006/relationships/hyperlink" Target="https://eur-lex.europa.eu/legal-content/FR/TXT/PDF/?uri=OJ:L_202500362" TargetMode="External"/><Relationship Id="rId41" Type="http://schemas.openxmlformats.org/officeDocument/2006/relationships/hyperlink" Target="https://eur-lex.europa.eu/legal-content/FR/TXT/PDF/?uri=OJ:L_202500269" TargetMode="External"/><Relationship Id="rId54"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eur-lex.europa.eu/legal-content/FR/TXT/PDF/?uri=OJ:L_202500265" TargetMode="External"/><Relationship Id="rId23" Type="http://schemas.openxmlformats.org/officeDocument/2006/relationships/hyperlink" Target="https://eur-lex.europa.eu/legal-content/FR/TXT/PDF/?uri=OJ:L_202590154" TargetMode="External"/><Relationship Id="rId28" Type="http://schemas.openxmlformats.org/officeDocument/2006/relationships/hyperlink" Target="https://anses.fr/sites/default/files/BIORISK2024-MPEX-0018.pdf" TargetMode="External"/><Relationship Id="rId36" Type="http://schemas.openxmlformats.org/officeDocument/2006/relationships/hyperlink" Target="https://eur-lex.europa.eu/legal-content/FR/TXT/PDF/?uri=OJ:L_202500430" TargetMode="External"/><Relationship Id="rId49" Type="http://schemas.openxmlformats.org/officeDocument/2006/relationships/hyperlink" Target="https://eur-lex.europa.eu/legal-content/FR/TXT/PDF/?uri=OJ:L_202500268" TargetMode="External"/><Relationship Id="rId57" Type="http://schemas.openxmlformats.org/officeDocument/2006/relationships/header" Target="header3.xml"/><Relationship Id="rId10" Type="http://schemas.openxmlformats.org/officeDocument/2006/relationships/hyperlink" Target="https://info.agriculture.gouv.fr/boagri/instruction-2025-77" TargetMode="External"/><Relationship Id="rId31" Type="http://schemas.openxmlformats.org/officeDocument/2006/relationships/hyperlink" Target="https://eur-lex.europa.eu/legal-content/FR/TXT/PDF/?uri=OJ:L_202500351" TargetMode="External"/><Relationship Id="rId44" Type="http://schemas.openxmlformats.org/officeDocument/2006/relationships/hyperlink" Target="https://www.legifrance.gouv.fr/jorf/id/JORFTEXT000051170380" TargetMode="External"/><Relationship Id="rId52" Type="http://schemas.openxmlformats.org/officeDocument/2006/relationships/hyperlink" Target="https://eur-lex.europa.eu/legal-content/FR/TXT/PDF/?uri=OJ:L_202500328" TargetMode="External"/><Relationship Id="rId6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2F9048-52DE-4C9E-ACCF-03401F2D7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2781</Words>
  <Characters>15296</Characters>
  <Application>Microsoft Office Word</Application>
  <DocSecurity>0</DocSecurity>
  <Lines>127</Lines>
  <Paragraphs>36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dc:creator>
  <cp:keywords/>
  <dc:description/>
  <cp:lastModifiedBy>Denis GRIVET</cp:lastModifiedBy>
  <cp:revision>3</cp:revision>
  <dcterms:created xsi:type="dcterms:W3CDTF">2025-03-07T08:36:00Z</dcterms:created>
  <dcterms:modified xsi:type="dcterms:W3CDTF">2025-10-14T13:45:00Z</dcterms:modified>
</cp:coreProperties>
</file>