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D9C4BE" w14:textId="77777777" w:rsidR="00B936EC" w:rsidRDefault="00B936EC" w:rsidP="005F3EA3">
      <w:pPr>
        <w:spacing w:after="0" w:line="240" w:lineRule="auto"/>
        <w:jc w:val="center"/>
        <w:rPr>
          <w:rFonts w:ascii="Tenorite" w:hAnsi="Tenorite" w:cs="Tahoma"/>
          <w:b/>
          <w:color w:val="EF671A"/>
          <w:sz w:val="32"/>
          <w:szCs w:val="32"/>
          <w:u w:val="single"/>
        </w:rPr>
      </w:pPr>
      <w:r>
        <w:rPr>
          <w:rFonts w:ascii="Tenorite" w:hAnsi="Tenorite" w:cs="Tahoma"/>
          <w:b/>
          <w:color w:val="EF671A"/>
          <w:sz w:val="32"/>
          <w:szCs w:val="32"/>
          <w:u w:val="single"/>
        </w:rPr>
        <w:t>BULLETIN DE VEILLE REGLEMENTAIRE</w:t>
      </w:r>
    </w:p>
    <w:p w14:paraId="471A70FA" w14:textId="77777777" w:rsidR="00B936EC" w:rsidRDefault="00B936EC" w:rsidP="005F3EA3">
      <w:pPr>
        <w:spacing w:after="0" w:line="240" w:lineRule="auto"/>
        <w:jc w:val="center"/>
        <w:rPr>
          <w:rFonts w:ascii="Tenorite" w:hAnsi="Tenorite" w:cs="Tahoma"/>
          <w:b/>
          <w:color w:val="EF671A"/>
          <w:sz w:val="32"/>
          <w:szCs w:val="32"/>
          <w:u w:val="single"/>
        </w:rPr>
      </w:pPr>
      <w:r>
        <w:rPr>
          <w:rFonts w:ascii="Tenorite" w:hAnsi="Tenorite" w:cs="Tahoma"/>
          <w:b/>
          <w:color w:val="EF671A"/>
          <w:sz w:val="32"/>
          <w:szCs w:val="32"/>
          <w:u w:val="single"/>
        </w:rPr>
        <w:t>N° 3 – mars 2025</w:t>
      </w:r>
    </w:p>
    <w:p w14:paraId="5F544752" w14:textId="77777777" w:rsidR="00B936EC" w:rsidRPr="00B936EC" w:rsidRDefault="00B936EC" w:rsidP="00B936EC">
      <w:pPr>
        <w:spacing w:after="0" w:line="240" w:lineRule="exact"/>
        <w:jc w:val="center"/>
        <w:rPr>
          <w:rFonts w:ascii="Tenorite" w:hAnsi="Tenorite" w:cs="Tahoma"/>
          <w:b/>
          <w:color w:val="EF671A"/>
          <w:u w:val="single"/>
        </w:rPr>
      </w:pPr>
    </w:p>
    <w:p w14:paraId="57B9E1AA" w14:textId="77777777" w:rsidR="00B936EC" w:rsidRDefault="00B936EC" w:rsidP="00B936EC">
      <w:pPr>
        <w:spacing w:after="0" w:line="240" w:lineRule="exact"/>
        <w:jc w:val="center"/>
        <w:rPr>
          <w:rFonts w:ascii="Tenorite" w:hAnsi="Tenorite" w:cs="Tahoma"/>
          <w:b/>
          <w:sz w:val="32"/>
          <w:szCs w:val="32"/>
          <w:u w:val="single"/>
        </w:rPr>
      </w:pPr>
      <w:r w:rsidRPr="00B936EC">
        <w:rPr>
          <w:rFonts w:ascii="Tenorite" w:hAnsi="Tenorite" w:cs="Tahoma"/>
          <w:b/>
          <w:sz w:val="24"/>
          <w:szCs w:val="24"/>
          <w:u w:val="single"/>
        </w:rPr>
        <w:t>Sécurité des aliments et information du consommateur (France et Europe</w:t>
      </w:r>
      <w:r w:rsidRPr="00B936EC">
        <w:rPr>
          <w:rFonts w:ascii="Tenorite" w:hAnsi="Tenorite" w:cs="Tahoma"/>
          <w:b/>
          <w:sz w:val="32"/>
          <w:szCs w:val="32"/>
          <w:u w:val="single"/>
        </w:rPr>
        <w:t>)</w:t>
      </w:r>
    </w:p>
    <w:p w14:paraId="22F214F2" w14:textId="77777777" w:rsidR="00B936EC" w:rsidRDefault="00B936EC" w:rsidP="00B936EC">
      <w:pPr>
        <w:spacing w:after="0" w:line="240" w:lineRule="exact"/>
        <w:jc w:val="center"/>
        <w:rPr>
          <w:rFonts w:ascii="Tenorite" w:hAnsi="Tenorite" w:cs="Tahoma"/>
          <w:b/>
          <w:sz w:val="32"/>
          <w:szCs w:val="32"/>
          <w:u w:val="single"/>
        </w:rPr>
      </w:pPr>
    </w:p>
    <w:p w14:paraId="59814DAA" w14:textId="77777777" w:rsidR="00B936EC" w:rsidRDefault="00B936EC" w:rsidP="00B936EC">
      <w:pPr>
        <w:spacing w:after="0" w:line="240" w:lineRule="exact"/>
        <w:jc w:val="center"/>
        <w:rPr>
          <w:rFonts w:ascii="Tenorite" w:hAnsi="Tenorite" w:cs="Tahoma"/>
          <w:b/>
          <w:sz w:val="32"/>
          <w:szCs w:val="32"/>
          <w:u w:val="single"/>
        </w:rPr>
      </w:pPr>
    </w:p>
    <w:p w14:paraId="6E6C5449" w14:textId="508D665F" w:rsidR="002B7CB6" w:rsidRDefault="002B7CB6" w:rsidP="00B936EC">
      <w:pPr>
        <w:spacing w:after="0" w:line="240" w:lineRule="exact"/>
        <w:jc w:val="center"/>
        <w:rPr>
          <w:rFonts w:ascii="Tenorite" w:hAnsi="Tenorite" w:cs="Tahoma"/>
          <w:b/>
          <w:color w:val="EF671A"/>
          <w:sz w:val="32"/>
          <w:szCs w:val="32"/>
          <w:u w:val="single"/>
        </w:rPr>
      </w:pPr>
      <w:r w:rsidRPr="005F3EA3">
        <w:rPr>
          <w:rFonts w:ascii="Tenorite" w:hAnsi="Tenorite" w:cs="Tahoma"/>
          <w:b/>
          <w:color w:val="EF671A"/>
          <w:sz w:val="32"/>
          <w:szCs w:val="32"/>
          <w:u w:val="single"/>
        </w:rPr>
        <w:t>Partie 1 : Règlementation générale</w:t>
      </w:r>
    </w:p>
    <w:p w14:paraId="3817F064" w14:textId="77777777" w:rsidR="00B936EC" w:rsidRPr="005F3EA3" w:rsidRDefault="00B936EC" w:rsidP="00B936EC">
      <w:pPr>
        <w:spacing w:after="0" w:line="240" w:lineRule="exact"/>
        <w:jc w:val="center"/>
        <w:rPr>
          <w:rFonts w:ascii="Tenorite" w:hAnsi="Tenorite" w:cs="Tahoma"/>
          <w:b/>
          <w:color w:val="EF671A"/>
          <w:sz w:val="32"/>
          <w:szCs w:val="32"/>
          <w:u w:val="single"/>
        </w:rPr>
      </w:pPr>
    </w:p>
    <w:p w14:paraId="4CEA5421" w14:textId="7C64E32A" w:rsidR="002B7CB6" w:rsidRPr="006417DA" w:rsidRDefault="002B7CB6" w:rsidP="006417DA">
      <w:pPr>
        <w:shd w:val="clear" w:color="auto" w:fill="D9D9D9" w:themeFill="background1" w:themeFillShade="D9"/>
        <w:spacing w:after="0" w:line="240" w:lineRule="auto"/>
        <w:ind w:left="142"/>
        <w:rPr>
          <w:rFonts w:ascii="Tenorite" w:hAnsi="Tenorite"/>
          <w:b/>
          <w:color w:val="833C0B" w:themeColor="accent2" w:themeShade="80"/>
          <w:sz w:val="24"/>
        </w:rPr>
      </w:pPr>
      <w:r w:rsidRPr="006417DA">
        <w:rPr>
          <w:rFonts w:ascii="Tenorite" w:hAnsi="Tenorite"/>
          <w:b/>
          <w:color w:val="833C0B" w:themeColor="accent2" w:themeShade="80"/>
          <w:sz w:val="24"/>
        </w:rPr>
        <w:t xml:space="preserve">ADDITIFS, </w:t>
      </w:r>
      <w:r w:rsidR="00767DBA" w:rsidRPr="006417DA">
        <w:rPr>
          <w:rFonts w:ascii="Tenorite" w:hAnsi="Tenorite"/>
          <w:b/>
          <w:color w:val="833C0B" w:themeColor="accent2" w:themeShade="80"/>
          <w:sz w:val="24"/>
        </w:rPr>
        <w:t>ET INGREDIENTS</w:t>
      </w:r>
    </w:p>
    <w:p w14:paraId="54AA4722" w14:textId="250C5341" w:rsidR="002B7CB6" w:rsidRPr="006417DA" w:rsidRDefault="002B7CB6"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Additifs</w:t>
      </w:r>
      <w:r w:rsidR="009E6EA2">
        <w:rPr>
          <w:rFonts w:ascii="Tenorite" w:hAnsi="Tenorite"/>
          <w:color w:val="C45911" w:themeColor="accent2" w:themeShade="BF"/>
          <w:sz w:val="20"/>
        </w:rPr>
        <w:t xml:space="preserve"> /</w:t>
      </w:r>
    </w:p>
    <w:p w14:paraId="2377D8B1" w14:textId="67D6FD89" w:rsidR="002B7CB6" w:rsidRPr="006417DA" w:rsidRDefault="002B7CB6"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Arômes</w:t>
      </w:r>
      <w:r w:rsidR="009E6EA2">
        <w:rPr>
          <w:rFonts w:ascii="Tenorite" w:hAnsi="Tenorite"/>
          <w:color w:val="C45911" w:themeColor="accent2" w:themeShade="BF"/>
          <w:sz w:val="20"/>
        </w:rPr>
        <w:t xml:space="preserve"> /</w:t>
      </w:r>
    </w:p>
    <w:p w14:paraId="47C0C303" w14:textId="71A14D6A" w:rsidR="002B7CB6" w:rsidRPr="006417DA" w:rsidRDefault="002B7CB6"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Auxiliaires technologiques</w:t>
      </w:r>
      <w:r w:rsidR="009E6EA2">
        <w:rPr>
          <w:rFonts w:ascii="Tenorite" w:hAnsi="Tenorite"/>
          <w:color w:val="C45911" w:themeColor="accent2" w:themeShade="BF"/>
          <w:sz w:val="20"/>
        </w:rPr>
        <w:t xml:space="preserve"> /</w:t>
      </w:r>
    </w:p>
    <w:p w14:paraId="49061338" w14:textId="7CB3DDD4" w:rsidR="002B7CB6" w:rsidRPr="006417DA" w:rsidRDefault="002B7CB6"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Colorants</w:t>
      </w:r>
      <w:r w:rsidR="009E6EA2">
        <w:rPr>
          <w:rFonts w:ascii="Tenorite" w:hAnsi="Tenorite"/>
          <w:color w:val="C45911" w:themeColor="accent2" w:themeShade="BF"/>
          <w:sz w:val="20"/>
        </w:rPr>
        <w:t xml:space="preserve"> /</w:t>
      </w:r>
    </w:p>
    <w:p w14:paraId="091C2FFA" w14:textId="062FC416" w:rsidR="002B7CB6" w:rsidRDefault="00767DBA"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 xml:space="preserve">Novel </w:t>
      </w:r>
      <w:proofErr w:type="spellStart"/>
      <w:r w:rsidR="003A504F" w:rsidRPr="006417DA">
        <w:rPr>
          <w:rFonts w:ascii="Tenorite" w:hAnsi="Tenorite"/>
          <w:color w:val="C45911" w:themeColor="accent2" w:themeShade="BF"/>
          <w:sz w:val="20"/>
        </w:rPr>
        <w:t>foods</w:t>
      </w:r>
      <w:proofErr w:type="spellEnd"/>
      <w:r w:rsidR="003A504F" w:rsidRPr="006417DA">
        <w:rPr>
          <w:rFonts w:ascii="Tenorite" w:hAnsi="Tenorite"/>
          <w:color w:val="C45911" w:themeColor="accent2" w:themeShade="BF"/>
          <w:sz w:val="20"/>
        </w:rPr>
        <w:t xml:space="preserve"> </w:t>
      </w:r>
      <w:r w:rsidR="003A504F">
        <w:rPr>
          <w:rFonts w:ascii="Tenorite" w:hAnsi="Tenorite"/>
          <w:color w:val="C45911" w:themeColor="accent2" w:themeShade="BF"/>
          <w:sz w:val="20"/>
        </w:rPr>
        <w:t>/</w:t>
      </w:r>
    </w:p>
    <w:p w14:paraId="7EB64493" w14:textId="77777777" w:rsidR="009E6EA2" w:rsidRPr="006417DA" w:rsidRDefault="009E6EA2" w:rsidP="006417DA">
      <w:pPr>
        <w:spacing w:after="0" w:line="240" w:lineRule="auto"/>
        <w:ind w:left="142"/>
        <w:rPr>
          <w:rFonts w:ascii="Tenorite" w:hAnsi="Tenorite"/>
          <w:sz w:val="18"/>
        </w:rPr>
      </w:pPr>
    </w:p>
    <w:p w14:paraId="19693B20" w14:textId="77777777" w:rsidR="002B7CB6" w:rsidRPr="006417DA" w:rsidRDefault="002B7CB6" w:rsidP="006417DA">
      <w:pPr>
        <w:shd w:val="clear" w:color="auto" w:fill="D9D9D9" w:themeFill="background1" w:themeFillShade="D9"/>
        <w:spacing w:after="0" w:line="240" w:lineRule="auto"/>
        <w:ind w:left="142"/>
        <w:rPr>
          <w:rFonts w:ascii="Tenorite" w:hAnsi="Tenorite"/>
          <w:b/>
          <w:color w:val="833C0B" w:themeColor="accent2" w:themeShade="80"/>
          <w:sz w:val="24"/>
        </w:rPr>
      </w:pPr>
      <w:r w:rsidRPr="006417DA">
        <w:rPr>
          <w:rFonts w:ascii="Tenorite" w:hAnsi="Tenorite"/>
          <w:b/>
          <w:color w:val="833C0B" w:themeColor="accent2" w:themeShade="80"/>
          <w:sz w:val="24"/>
        </w:rPr>
        <w:t>ANALYSE ET CONTROLE</w:t>
      </w:r>
    </w:p>
    <w:p w14:paraId="3B4064F8" w14:textId="7042FCFE" w:rsidR="00767DBA" w:rsidRPr="006417DA" w:rsidRDefault="00767DBA" w:rsidP="006417DA">
      <w:pPr>
        <w:spacing w:after="0" w:line="240" w:lineRule="auto"/>
        <w:ind w:left="142"/>
        <w:jc w:val="both"/>
        <w:rPr>
          <w:rFonts w:ascii="Tenorite" w:hAnsi="Tenorite"/>
          <w:color w:val="C45911" w:themeColor="accent2" w:themeShade="BF"/>
          <w:sz w:val="20"/>
          <w:szCs w:val="20"/>
        </w:rPr>
      </w:pPr>
      <w:r w:rsidRPr="006417DA">
        <w:rPr>
          <w:rFonts w:ascii="Tenorite" w:hAnsi="Tenorite"/>
          <w:color w:val="C45911" w:themeColor="accent2" w:themeShade="BF"/>
          <w:sz w:val="20"/>
          <w:szCs w:val="20"/>
        </w:rPr>
        <w:t>Analyses</w:t>
      </w:r>
      <w:r w:rsidR="009E6EA2">
        <w:rPr>
          <w:rFonts w:ascii="Tenorite" w:hAnsi="Tenorite"/>
          <w:color w:val="C45911" w:themeColor="accent2" w:themeShade="BF"/>
          <w:sz w:val="20"/>
          <w:szCs w:val="20"/>
        </w:rPr>
        <w:t xml:space="preserve"> /</w:t>
      </w:r>
    </w:p>
    <w:p w14:paraId="306E4FFE" w14:textId="5DD87E85" w:rsidR="00767DBA" w:rsidRPr="006417DA" w:rsidRDefault="00767DBA" w:rsidP="006417DA">
      <w:pPr>
        <w:spacing w:after="0" w:line="240" w:lineRule="auto"/>
        <w:ind w:left="142"/>
        <w:jc w:val="both"/>
        <w:rPr>
          <w:rFonts w:ascii="Tenorite" w:hAnsi="Tenorite"/>
          <w:color w:val="C45911" w:themeColor="accent2" w:themeShade="BF"/>
          <w:sz w:val="20"/>
          <w:szCs w:val="20"/>
        </w:rPr>
      </w:pPr>
      <w:r w:rsidRPr="006417DA">
        <w:rPr>
          <w:rFonts w:ascii="Tenorite" w:hAnsi="Tenorite"/>
          <w:color w:val="C45911" w:themeColor="accent2" w:themeShade="BF"/>
          <w:sz w:val="20"/>
          <w:szCs w:val="20"/>
        </w:rPr>
        <w:t>Plans de contrôle, PSPC, …</w:t>
      </w:r>
    </w:p>
    <w:p w14:paraId="51EA7150" w14:textId="77777777" w:rsidR="001767C2" w:rsidRPr="006417DA" w:rsidRDefault="001767C2" w:rsidP="006417DA">
      <w:pPr>
        <w:shd w:val="clear" w:color="auto" w:fill="FFFFFF"/>
        <w:spacing w:after="0" w:line="240" w:lineRule="auto"/>
        <w:ind w:left="142"/>
        <w:jc w:val="both"/>
        <w:rPr>
          <w:rFonts w:ascii="Tenorite" w:hAnsi="Tenorite"/>
          <w:sz w:val="20"/>
          <w:szCs w:val="20"/>
        </w:rPr>
      </w:pPr>
      <w:r w:rsidRPr="006417DA">
        <w:rPr>
          <w:rFonts w:ascii="Tenorite" w:eastAsia="Times New Roman" w:hAnsi="Tenorite" w:cs="Times New Roman"/>
          <w:b/>
          <w:bCs/>
          <w:color w:val="636363"/>
          <w:sz w:val="20"/>
          <w:szCs w:val="20"/>
          <w:lang w:eastAsia="fr-FR"/>
        </w:rPr>
        <w:t>Instruction technique </w:t>
      </w:r>
      <w:hyperlink r:id="rId7" w:history="1">
        <w:r w:rsidRPr="006417DA">
          <w:rPr>
            <w:rFonts w:ascii="Tenorite" w:eastAsia="Times New Roman" w:hAnsi="Tenorite" w:cs="Times New Roman"/>
            <w:color w:val="0088CC"/>
            <w:sz w:val="20"/>
            <w:szCs w:val="20"/>
            <w:u w:val="single"/>
            <w:lang w:eastAsia="fr-FR"/>
          </w:rPr>
          <w:t>DGAL/SDEIGIR/2025-139</w:t>
        </w:r>
      </w:hyperlink>
      <w:r w:rsidRPr="006417DA">
        <w:rPr>
          <w:rFonts w:ascii="Tenorite" w:eastAsia="Times New Roman" w:hAnsi="Tenorite" w:cs="Times New Roman"/>
          <w:color w:val="636363"/>
          <w:sz w:val="20"/>
          <w:szCs w:val="20"/>
          <w:lang w:eastAsia="fr-FR"/>
        </w:rPr>
        <w:t> du 07-03-2025 - Dispositif PSPC - Plan de surveillance des améliorants alimentaires dans les denrées alimentaires - année 2025 (DGPE)</w:t>
      </w:r>
    </w:p>
    <w:p w14:paraId="14EFE32A" w14:textId="77777777" w:rsidR="001767C2" w:rsidRPr="006417DA" w:rsidRDefault="001767C2" w:rsidP="006417DA">
      <w:pPr>
        <w:spacing w:after="0" w:line="240" w:lineRule="auto"/>
        <w:ind w:left="142"/>
        <w:rPr>
          <w:rFonts w:ascii="Tenorite" w:hAnsi="Tenorite"/>
          <w:color w:val="C45911" w:themeColor="accent2" w:themeShade="BF"/>
          <w:sz w:val="20"/>
        </w:rPr>
      </w:pPr>
    </w:p>
    <w:p w14:paraId="3570CAB8" w14:textId="77777777" w:rsidR="002B7CB6" w:rsidRPr="006417DA" w:rsidRDefault="002B7CB6" w:rsidP="006417DA">
      <w:pPr>
        <w:shd w:val="clear" w:color="auto" w:fill="D9D9D9" w:themeFill="background1" w:themeFillShade="D9"/>
        <w:spacing w:after="0" w:line="240" w:lineRule="auto"/>
        <w:ind w:left="142"/>
        <w:rPr>
          <w:rFonts w:ascii="Tenorite" w:hAnsi="Tenorite"/>
          <w:b/>
          <w:color w:val="833C0B" w:themeColor="accent2" w:themeShade="80"/>
          <w:sz w:val="24"/>
        </w:rPr>
      </w:pPr>
      <w:r w:rsidRPr="006417DA">
        <w:rPr>
          <w:rFonts w:ascii="Tenorite" w:hAnsi="Tenorite"/>
          <w:b/>
          <w:color w:val="833C0B" w:themeColor="accent2" w:themeShade="80"/>
          <w:sz w:val="24"/>
        </w:rPr>
        <w:t>BIOCIDES – PRODUITS DE NETTOYAGE</w:t>
      </w:r>
    </w:p>
    <w:bookmarkStart w:id="0" w:name="_Hlk195107388"/>
    <w:p w14:paraId="0AFD22DF" w14:textId="77777777" w:rsidR="006417DA" w:rsidRPr="006417DA" w:rsidRDefault="006417DA" w:rsidP="006417DA">
      <w:pPr>
        <w:pStyle w:val="Textebrut"/>
        <w:ind w:left="142"/>
        <w:jc w:val="both"/>
        <w:rPr>
          <w:rFonts w:ascii="Tenorite" w:hAnsi="Tenorite"/>
          <w:sz w:val="20"/>
          <w:szCs w:val="20"/>
        </w:rPr>
      </w:pPr>
      <w:r w:rsidRPr="006417DA">
        <w:rPr>
          <w:rFonts w:ascii="Tenorite" w:hAnsi="Tenorite"/>
          <w:sz w:val="20"/>
          <w:szCs w:val="20"/>
        </w:rPr>
        <w:fldChar w:fldCharType="begin"/>
      </w:r>
      <w:r w:rsidRPr="006417DA">
        <w:rPr>
          <w:rFonts w:ascii="Tenorite" w:hAnsi="Tenorite"/>
          <w:sz w:val="20"/>
          <w:szCs w:val="20"/>
        </w:rPr>
        <w:instrText>HYPERLINK "https://www.legifrance.gouv.fr/jorf/id/JORFTEXT000051305927"</w:instrText>
      </w:r>
      <w:r w:rsidRPr="006417DA">
        <w:rPr>
          <w:rFonts w:ascii="Tenorite" w:hAnsi="Tenorite"/>
          <w:sz w:val="20"/>
          <w:szCs w:val="20"/>
        </w:rPr>
      </w:r>
      <w:r w:rsidRPr="006417DA">
        <w:rPr>
          <w:rFonts w:ascii="Tenorite" w:hAnsi="Tenorite"/>
          <w:sz w:val="20"/>
          <w:szCs w:val="20"/>
        </w:rPr>
        <w:fldChar w:fldCharType="separate"/>
      </w:r>
      <w:r w:rsidRPr="006417DA">
        <w:rPr>
          <w:rStyle w:val="Lienhypertexte"/>
          <w:rFonts w:ascii="Tenorite" w:hAnsi="Tenorite"/>
          <w:sz w:val="20"/>
          <w:szCs w:val="20"/>
        </w:rPr>
        <w:t>Décret</w:t>
      </w:r>
      <w:r w:rsidRPr="006417DA">
        <w:rPr>
          <w:rFonts w:ascii="Tenorite" w:hAnsi="Tenorite"/>
          <w:sz w:val="20"/>
          <w:szCs w:val="20"/>
        </w:rPr>
        <w:fldChar w:fldCharType="end"/>
      </w:r>
      <w:r w:rsidRPr="006417DA">
        <w:rPr>
          <w:rFonts w:ascii="Tenorite" w:hAnsi="Tenorite"/>
          <w:sz w:val="20"/>
          <w:szCs w:val="20"/>
        </w:rPr>
        <w:t xml:space="preserve"> n° 2025-222 du 7 mars 2025 prorogeant d'un an la durée de validité du certificat individuel prévu par le II de l'article L. 254-3 du code rural et de la pêche maritime (JORF 09/03/2025)</w:t>
      </w:r>
    </w:p>
    <w:p w14:paraId="52F27397" w14:textId="77777777" w:rsidR="006417DA" w:rsidRPr="006417DA" w:rsidRDefault="006417DA" w:rsidP="006417DA">
      <w:pPr>
        <w:pStyle w:val="Textebrut"/>
        <w:ind w:left="142"/>
        <w:jc w:val="both"/>
        <w:rPr>
          <w:rFonts w:ascii="Tenorite" w:hAnsi="Tenorite"/>
          <w:sz w:val="20"/>
          <w:szCs w:val="20"/>
        </w:rPr>
      </w:pPr>
    </w:p>
    <w:bookmarkEnd w:id="0"/>
    <w:p w14:paraId="2C2F8274" w14:textId="77777777" w:rsidR="006417DA" w:rsidRPr="006417DA" w:rsidRDefault="006417DA" w:rsidP="006417DA">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6417DA">
        <w:rPr>
          <w:rFonts w:ascii="Tenorite" w:hAnsi="Tenorite"/>
          <w:sz w:val="20"/>
          <w:szCs w:val="20"/>
        </w:rPr>
        <w:fldChar w:fldCharType="begin"/>
      </w:r>
      <w:r w:rsidRPr="006417DA">
        <w:rPr>
          <w:rFonts w:ascii="Tenorite" w:hAnsi="Tenorite"/>
          <w:sz w:val="20"/>
          <w:szCs w:val="20"/>
        </w:rPr>
        <w:instrText>HYPERLINK "https://info.agriculture.gouv.fr/boagri/document_administratif-e8917bae-a6ff-4228-a3d0-cd781272b998"</w:instrText>
      </w:r>
      <w:r w:rsidRPr="006417DA">
        <w:rPr>
          <w:rFonts w:ascii="Tenorite" w:hAnsi="Tenorite"/>
          <w:sz w:val="20"/>
          <w:szCs w:val="20"/>
        </w:rPr>
      </w:r>
      <w:r w:rsidRPr="006417DA">
        <w:rPr>
          <w:rFonts w:ascii="Tenorite" w:hAnsi="Tenorite"/>
          <w:sz w:val="20"/>
          <w:szCs w:val="20"/>
        </w:rPr>
        <w:fldChar w:fldCharType="separate"/>
      </w:r>
      <w:r w:rsidRPr="006417DA">
        <w:rPr>
          <w:rFonts w:ascii="Tenorite" w:eastAsia="Times New Roman" w:hAnsi="Tenorite" w:cs="Times New Roman"/>
          <w:b/>
          <w:bCs/>
          <w:color w:val="0088CC"/>
          <w:sz w:val="20"/>
          <w:szCs w:val="20"/>
          <w:u w:val="single"/>
          <w:lang w:eastAsia="fr-FR"/>
        </w:rPr>
        <w:t>Avis</w:t>
      </w:r>
      <w:r w:rsidRPr="006417DA">
        <w:rPr>
          <w:rFonts w:ascii="Tenorite" w:hAnsi="Tenorite"/>
          <w:sz w:val="20"/>
          <w:szCs w:val="20"/>
        </w:rPr>
        <w:fldChar w:fldCharType="end"/>
      </w:r>
      <w:r w:rsidRPr="006417DA">
        <w:rPr>
          <w:rFonts w:ascii="Tenorite" w:eastAsia="Times New Roman" w:hAnsi="Tenorite" w:cs="Times New Roman"/>
          <w:color w:val="636363"/>
          <w:sz w:val="20"/>
          <w:szCs w:val="20"/>
          <w:lang w:eastAsia="fr-FR"/>
        </w:rPr>
        <w:t> du 27-03-2025 - Bilan sur la mise en œuvre du dispositif de certificats d'économie de produits phytopharmaceutiques – Campagne 2022-2023 (DGAL)</w:t>
      </w:r>
    </w:p>
    <w:p w14:paraId="0F142D10" w14:textId="77777777" w:rsidR="006417DA" w:rsidRPr="006417DA" w:rsidRDefault="006417DA" w:rsidP="006417DA">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35AC73E2" w14:textId="77777777" w:rsidR="006417DA" w:rsidRPr="006417DA" w:rsidRDefault="006417DA" w:rsidP="006417DA">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8" w:history="1">
        <w:r w:rsidRPr="006417DA">
          <w:rPr>
            <w:rStyle w:val="Lienhypertexte"/>
            <w:rFonts w:ascii="Tenorite" w:eastAsia="Times New Roman" w:hAnsi="Tenorite" w:cs="Times New Roman"/>
            <w:sz w:val="20"/>
            <w:szCs w:val="20"/>
            <w:lang w:eastAsia="fr-FR"/>
          </w:rPr>
          <w:t>Règlement</w:t>
        </w:r>
      </w:hyperlink>
      <w:r w:rsidRPr="006417DA">
        <w:rPr>
          <w:rFonts w:ascii="Tenorite" w:eastAsia="Times New Roman" w:hAnsi="Tenorite" w:cs="Times New Roman"/>
          <w:color w:val="636363"/>
          <w:sz w:val="20"/>
          <w:szCs w:val="20"/>
          <w:lang w:eastAsia="fr-FR"/>
        </w:rPr>
        <w:t xml:space="preserve"> d’exécution (UE) 2025/427 de la Commission du 4 mars 2025 accordant une autorisation de l’Union pour la famille de produits biocides dénommée </w:t>
      </w:r>
      <w:proofErr w:type="spellStart"/>
      <w:r w:rsidRPr="006417DA">
        <w:rPr>
          <w:rFonts w:ascii="Tenorite" w:eastAsia="Times New Roman" w:hAnsi="Tenorite" w:cs="Times New Roman"/>
          <w:color w:val="636363"/>
          <w:sz w:val="20"/>
          <w:szCs w:val="20"/>
          <w:lang w:eastAsia="fr-FR"/>
        </w:rPr>
        <w:t>Orochemie</w:t>
      </w:r>
      <w:proofErr w:type="spellEnd"/>
      <w:r w:rsidRPr="006417DA">
        <w:rPr>
          <w:rFonts w:ascii="Tenorite" w:eastAsia="Times New Roman" w:hAnsi="Tenorite" w:cs="Times New Roman"/>
          <w:color w:val="636363"/>
          <w:sz w:val="20"/>
          <w:szCs w:val="20"/>
          <w:lang w:eastAsia="fr-FR"/>
        </w:rPr>
        <w:t xml:space="preserve"> hand </w:t>
      </w:r>
      <w:proofErr w:type="spellStart"/>
      <w:r w:rsidRPr="006417DA">
        <w:rPr>
          <w:rFonts w:ascii="Tenorite" w:eastAsia="Times New Roman" w:hAnsi="Tenorite" w:cs="Times New Roman"/>
          <w:color w:val="636363"/>
          <w:sz w:val="20"/>
          <w:szCs w:val="20"/>
          <w:lang w:eastAsia="fr-FR"/>
        </w:rPr>
        <w:t>disinfectants</w:t>
      </w:r>
      <w:proofErr w:type="spellEnd"/>
      <w:r w:rsidRPr="006417DA">
        <w:rPr>
          <w:rFonts w:ascii="Tenorite" w:eastAsia="Times New Roman" w:hAnsi="Tenorite" w:cs="Times New Roman"/>
          <w:color w:val="636363"/>
          <w:sz w:val="20"/>
          <w:szCs w:val="20"/>
          <w:lang w:eastAsia="fr-FR"/>
        </w:rPr>
        <w:t xml:space="preserve"> conformément au règlement (UE) no 528/2012 du Parlement européen et du Conseil (JOUE 06/03/2025)</w:t>
      </w:r>
    </w:p>
    <w:p w14:paraId="50C04FB0" w14:textId="77777777" w:rsidR="006417DA" w:rsidRPr="006417DA" w:rsidRDefault="006417DA" w:rsidP="006417DA">
      <w:pPr>
        <w:shd w:val="clear" w:color="auto" w:fill="FFFFFF"/>
        <w:spacing w:after="0" w:line="240" w:lineRule="auto"/>
        <w:ind w:left="142"/>
        <w:jc w:val="both"/>
        <w:rPr>
          <w:rFonts w:ascii="Tenorite" w:hAnsi="Tenorite"/>
          <w:sz w:val="20"/>
          <w:szCs w:val="20"/>
        </w:rPr>
      </w:pPr>
    </w:p>
    <w:p w14:paraId="33E6737A" w14:textId="77777777" w:rsidR="006417DA" w:rsidRPr="006417DA" w:rsidRDefault="006417DA" w:rsidP="006417DA">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9" w:history="1">
        <w:r w:rsidRPr="006417DA">
          <w:rPr>
            <w:rStyle w:val="Lienhypertexte"/>
            <w:rFonts w:ascii="Tenorite" w:eastAsia="Times New Roman" w:hAnsi="Tenorite" w:cs="Times New Roman"/>
            <w:sz w:val="20"/>
            <w:szCs w:val="20"/>
            <w:lang w:eastAsia="fr-FR"/>
          </w:rPr>
          <w:t>Décision</w:t>
        </w:r>
      </w:hyperlink>
      <w:r w:rsidRPr="006417DA">
        <w:rPr>
          <w:rFonts w:ascii="Tenorite" w:eastAsia="Times New Roman" w:hAnsi="Tenorite" w:cs="Times New Roman"/>
          <w:color w:val="636363"/>
          <w:sz w:val="20"/>
          <w:szCs w:val="20"/>
          <w:lang w:eastAsia="fr-FR"/>
        </w:rPr>
        <w:t xml:space="preserve"> d’exécution (UE) 2025/444 de la Commission du 5 mars 2025 reportant la date d’expiration de l’approbation de l’acide benzoïque en vue de son utilisation dans les produits biocides relevant des types de produits 3 et 4, conformément au règlement (UE) no 528/2012 du Parlement européen et du Conseil (JOUE 07/03/2025)</w:t>
      </w:r>
    </w:p>
    <w:p w14:paraId="20D4B611" w14:textId="77777777" w:rsidR="006417DA" w:rsidRPr="006417DA" w:rsidRDefault="006417DA" w:rsidP="006417DA">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2AE8E903" w14:textId="77777777" w:rsidR="006417DA" w:rsidRPr="006417DA" w:rsidRDefault="006417DA" w:rsidP="006417DA">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10" w:history="1">
        <w:r w:rsidRPr="006417DA">
          <w:rPr>
            <w:rStyle w:val="Lienhypertexte"/>
            <w:rFonts w:ascii="Tenorite" w:eastAsia="Times New Roman" w:hAnsi="Tenorite" w:cs="Times New Roman"/>
            <w:sz w:val="20"/>
            <w:szCs w:val="20"/>
            <w:lang w:eastAsia="fr-FR"/>
          </w:rPr>
          <w:t>Décision</w:t>
        </w:r>
      </w:hyperlink>
      <w:r w:rsidRPr="006417DA">
        <w:rPr>
          <w:rFonts w:ascii="Tenorite" w:eastAsia="Times New Roman" w:hAnsi="Tenorite" w:cs="Times New Roman"/>
          <w:color w:val="636363"/>
          <w:sz w:val="20"/>
          <w:szCs w:val="20"/>
          <w:lang w:eastAsia="fr-FR"/>
        </w:rPr>
        <w:t xml:space="preserve"> d’exécution (UE) 2025/450 de la Commission du 6 mars 2025 reportant la date d’expiration de l’approbation de l’IPBC en vue de son utilisation dans les produits biocides relevant du type de produits 6, conformément au règlement (UE) no 528/2012 du Parlement européen et du Conseil (JOUE 07/03/2025)</w:t>
      </w:r>
    </w:p>
    <w:p w14:paraId="443FDBD3" w14:textId="77777777" w:rsidR="006417DA" w:rsidRPr="006417DA" w:rsidRDefault="006417DA" w:rsidP="006417DA">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60E10F48" w14:textId="77777777" w:rsidR="006417DA" w:rsidRPr="006417DA" w:rsidRDefault="006417DA" w:rsidP="006417DA">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11" w:history="1">
        <w:r w:rsidRPr="006417DA">
          <w:rPr>
            <w:rStyle w:val="Lienhypertexte"/>
            <w:rFonts w:ascii="Tenorite" w:eastAsia="Times New Roman" w:hAnsi="Tenorite" w:cs="Times New Roman"/>
            <w:sz w:val="20"/>
            <w:szCs w:val="20"/>
            <w:lang w:eastAsia="fr-FR"/>
          </w:rPr>
          <w:t>Décision</w:t>
        </w:r>
      </w:hyperlink>
      <w:r w:rsidRPr="006417DA">
        <w:rPr>
          <w:rFonts w:ascii="Tenorite" w:eastAsia="Times New Roman" w:hAnsi="Tenorite" w:cs="Times New Roman"/>
          <w:color w:val="636363"/>
          <w:sz w:val="20"/>
          <w:szCs w:val="20"/>
          <w:lang w:eastAsia="fr-FR"/>
        </w:rPr>
        <w:t xml:space="preserve"> d’exécution (UE) 2025/464 de la Commission du 5 mars 2025 modifiant la décision d’exécution (UE) 2024/2207 concernant certaines mesures d’urgence relatives à la clavelée et à la variole caprine en Grèce (JOUE 07/03/2025)</w:t>
      </w:r>
    </w:p>
    <w:p w14:paraId="351430FF" w14:textId="77777777" w:rsidR="006417DA" w:rsidRPr="006417DA" w:rsidRDefault="006417DA" w:rsidP="006417DA">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62A8796E" w14:textId="77777777" w:rsidR="006417DA" w:rsidRPr="006417DA" w:rsidRDefault="006417DA" w:rsidP="006417DA">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12" w:history="1">
        <w:r w:rsidRPr="006417DA">
          <w:rPr>
            <w:rStyle w:val="Lienhypertexte"/>
            <w:rFonts w:ascii="Tenorite" w:eastAsia="Times New Roman" w:hAnsi="Tenorite" w:cs="Times New Roman"/>
            <w:sz w:val="20"/>
            <w:szCs w:val="20"/>
            <w:lang w:eastAsia="fr-FR"/>
          </w:rPr>
          <w:t>Règlement</w:t>
        </w:r>
      </w:hyperlink>
      <w:r w:rsidRPr="006417DA">
        <w:rPr>
          <w:rFonts w:ascii="Tenorite" w:eastAsia="Times New Roman" w:hAnsi="Tenorite" w:cs="Times New Roman"/>
          <w:color w:val="636363"/>
          <w:sz w:val="20"/>
          <w:szCs w:val="20"/>
          <w:lang w:eastAsia="fr-FR"/>
        </w:rPr>
        <w:t xml:space="preserve"> d’exécution (UE) 2025/455 de la Commission du 7 mars 2025 accordant une autorisation de l’Union pour le produit biocide unique dénommé </w:t>
      </w:r>
      <w:proofErr w:type="spellStart"/>
      <w:r w:rsidRPr="006417DA">
        <w:rPr>
          <w:rFonts w:ascii="Tenorite" w:eastAsia="Times New Roman" w:hAnsi="Tenorite" w:cs="Times New Roman"/>
          <w:color w:val="636363"/>
          <w:sz w:val="20"/>
          <w:szCs w:val="20"/>
          <w:lang w:eastAsia="fr-FR"/>
        </w:rPr>
        <w:t>SatPax</w:t>
      </w:r>
      <w:proofErr w:type="spellEnd"/>
      <w:r w:rsidRPr="006417DA">
        <w:rPr>
          <w:rFonts w:ascii="Tenorite" w:eastAsia="Times New Roman" w:hAnsi="Tenorite" w:cs="Times New Roman"/>
          <w:color w:val="636363"/>
          <w:sz w:val="20"/>
          <w:szCs w:val="20"/>
          <w:lang w:eastAsia="fr-FR"/>
        </w:rPr>
        <w:t>® 70/30 IPA conformément au règlement (UE) no 528/2012 du Parlement européen et du Conseil (JOUE 10/03/2025)</w:t>
      </w:r>
    </w:p>
    <w:p w14:paraId="74476625" w14:textId="77777777" w:rsidR="006417DA" w:rsidRPr="006417DA" w:rsidRDefault="006417DA" w:rsidP="006417DA">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72269CF0" w14:textId="77777777" w:rsidR="006417DA" w:rsidRPr="006417DA" w:rsidRDefault="006417DA" w:rsidP="006417DA">
      <w:pPr>
        <w:shd w:val="clear" w:color="auto" w:fill="FFFFFF"/>
        <w:spacing w:after="0" w:line="240" w:lineRule="auto"/>
        <w:ind w:left="142"/>
        <w:jc w:val="both"/>
        <w:rPr>
          <w:rFonts w:ascii="Tenorite" w:hAnsi="Tenorite"/>
          <w:sz w:val="20"/>
          <w:szCs w:val="20"/>
        </w:rPr>
      </w:pPr>
      <w:hyperlink r:id="rId13" w:history="1">
        <w:r w:rsidRPr="006417DA">
          <w:rPr>
            <w:rStyle w:val="Lienhypertexte"/>
            <w:rFonts w:ascii="Tenorite" w:hAnsi="Tenorite"/>
            <w:sz w:val="20"/>
            <w:szCs w:val="20"/>
          </w:rPr>
          <w:t>Règlement</w:t>
        </w:r>
      </w:hyperlink>
      <w:r w:rsidRPr="006417DA">
        <w:rPr>
          <w:rFonts w:ascii="Tenorite" w:hAnsi="Tenorite"/>
          <w:sz w:val="20"/>
          <w:szCs w:val="20"/>
        </w:rPr>
        <w:t xml:space="preserve"> d’exécution (UE) 2025/457 de la Commission du 10 mars 2025 renouvelant l’approbation du </w:t>
      </w:r>
      <w:proofErr w:type="spellStart"/>
      <w:r w:rsidRPr="006417DA">
        <w:rPr>
          <w:rFonts w:ascii="Tenorite" w:hAnsi="Tenorite"/>
          <w:sz w:val="20"/>
          <w:szCs w:val="20"/>
        </w:rPr>
        <w:t>dinotéfurane</w:t>
      </w:r>
      <w:proofErr w:type="spellEnd"/>
      <w:r w:rsidRPr="006417DA">
        <w:rPr>
          <w:rFonts w:ascii="Tenorite" w:hAnsi="Tenorite"/>
          <w:sz w:val="20"/>
          <w:szCs w:val="20"/>
        </w:rPr>
        <w:t xml:space="preserve"> en tant que substance active destinée à être utilisée dans les produits biocides relevant du type de produits 18 conformément au règlement (UE) no 528/2012 du Parlement européen et du Conseil (JOUE 11/03/2025)</w:t>
      </w:r>
    </w:p>
    <w:p w14:paraId="4E5F9AFF" w14:textId="77777777" w:rsidR="006417DA" w:rsidRPr="006417DA" w:rsidRDefault="006417DA" w:rsidP="006417DA">
      <w:pPr>
        <w:shd w:val="clear" w:color="auto" w:fill="FFFFFF"/>
        <w:spacing w:after="0" w:line="240" w:lineRule="auto"/>
        <w:ind w:left="142"/>
        <w:jc w:val="both"/>
        <w:rPr>
          <w:rFonts w:ascii="Tenorite" w:hAnsi="Tenorite"/>
          <w:sz w:val="20"/>
          <w:szCs w:val="20"/>
        </w:rPr>
      </w:pPr>
    </w:p>
    <w:p w14:paraId="44CA138F" w14:textId="77777777" w:rsidR="006417DA" w:rsidRPr="006417DA" w:rsidRDefault="006417DA" w:rsidP="006417DA">
      <w:pPr>
        <w:shd w:val="clear" w:color="auto" w:fill="FFFFFF"/>
        <w:spacing w:after="0" w:line="240" w:lineRule="auto"/>
        <w:ind w:left="142"/>
        <w:jc w:val="both"/>
        <w:rPr>
          <w:rFonts w:ascii="Tenorite" w:hAnsi="Tenorite"/>
          <w:sz w:val="20"/>
          <w:szCs w:val="20"/>
        </w:rPr>
      </w:pPr>
      <w:hyperlink r:id="rId14" w:history="1">
        <w:r w:rsidRPr="006417DA">
          <w:rPr>
            <w:rStyle w:val="Lienhypertexte"/>
            <w:rFonts w:ascii="Tenorite" w:hAnsi="Tenorite"/>
            <w:sz w:val="20"/>
            <w:szCs w:val="20"/>
          </w:rPr>
          <w:t>Décision</w:t>
        </w:r>
      </w:hyperlink>
      <w:r w:rsidRPr="006417DA">
        <w:rPr>
          <w:rFonts w:ascii="Tenorite" w:hAnsi="Tenorite"/>
          <w:sz w:val="20"/>
          <w:szCs w:val="20"/>
        </w:rPr>
        <w:t xml:space="preserve"> d’exécution (UE) 2025/461 de la Commission du 10 mars 2025 reportant la date d’expiration de l’approbation du phosphure d’aluminium libérant de la phosphine en vue de son utilisation dans les produits biocides relevant du type de produits 20, conformément au règlement (UE) no 528/2012 du Parlement européen et du Conseil (JOUE 11/03/2025)</w:t>
      </w:r>
    </w:p>
    <w:p w14:paraId="175D3682" w14:textId="77777777" w:rsidR="006417DA" w:rsidRPr="006417DA" w:rsidRDefault="006417DA" w:rsidP="006417DA">
      <w:pPr>
        <w:shd w:val="clear" w:color="auto" w:fill="FFFFFF"/>
        <w:spacing w:after="0" w:line="240" w:lineRule="auto"/>
        <w:ind w:left="142"/>
        <w:jc w:val="both"/>
        <w:rPr>
          <w:rFonts w:ascii="Tenorite" w:hAnsi="Tenorite"/>
          <w:sz w:val="20"/>
          <w:szCs w:val="20"/>
        </w:rPr>
      </w:pPr>
    </w:p>
    <w:p w14:paraId="6E00DFBB" w14:textId="77777777" w:rsidR="006417DA" w:rsidRPr="006417DA" w:rsidRDefault="006417DA" w:rsidP="006417DA">
      <w:pPr>
        <w:shd w:val="clear" w:color="auto" w:fill="FFFFFF"/>
        <w:spacing w:after="0" w:line="240" w:lineRule="auto"/>
        <w:ind w:left="142"/>
        <w:jc w:val="both"/>
        <w:rPr>
          <w:rFonts w:ascii="Tenorite" w:hAnsi="Tenorite"/>
          <w:sz w:val="20"/>
          <w:szCs w:val="20"/>
        </w:rPr>
      </w:pPr>
      <w:hyperlink r:id="rId15" w:history="1">
        <w:r w:rsidRPr="006417DA">
          <w:rPr>
            <w:rStyle w:val="Lienhypertexte"/>
            <w:rFonts w:ascii="Tenorite" w:hAnsi="Tenorite"/>
            <w:sz w:val="20"/>
            <w:szCs w:val="20"/>
          </w:rPr>
          <w:t>Règlement</w:t>
        </w:r>
      </w:hyperlink>
      <w:r w:rsidRPr="006417DA">
        <w:rPr>
          <w:rFonts w:ascii="Tenorite" w:hAnsi="Tenorite"/>
          <w:sz w:val="20"/>
          <w:szCs w:val="20"/>
        </w:rPr>
        <w:t xml:space="preserve"> d’exécution (UE) 2025/474 de la Commission du 13 mars 2025 accordant une autorisation de l’Union pour le produit biocide unique dénommé </w:t>
      </w:r>
      <w:proofErr w:type="spellStart"/>
      <w:r w:rsidRPr="006417DA">
        <w:rPr>
          <w:rFonts w:ascii="Tenorite" w:hAnsi="Tenorite"/>
          <w:sz w:val="20"/>
          <w:szCs w:val="20"/>
        </w:rPr>
        <w:t>Büfa-Oxy</w:t>
      </w:r>
      <w:proofErr w:type="spellEnd"/>
      <w:r w:rsidRPr="006417DA">
        <w:rPr>
          <w:rFonts w:ascii="Tenorite" w:hAnsi="Tenorite"/>
          <w:sz w:val="20"/>
          <w:szCs w:val="20"/>
        </w:rPr>
        <w:t xml:space="preserve"> WS conformément au règlement (UE) no 528/2012 du Parlement européen et du Conseil (JOUE 17/03/2025)</w:t>
      </w:r>
    </w:p>
    <w:p w14:paraId="32940637" w14:textId="77777777" w:rsidR="006417DA" w:rsidRPr="006417DA" w:rsidRDefault="006417DA" w:rsidP="006417DA">
      <w:pPr>
        <w:shd w:val="clear" w:color="auto" w:fill="FFFFFF"/>
        <w:spacing w:after="0" w:line="240" w:lineRule="auto"/>
        <w:ind w:left="142"/>
        <w:jc w:val="both"/>
        <w:rPr>
          <w:rFonts w:ascii="Tenorite" w:hAnsi="Tenorite"/>
          <w:sz w:val="20"/>
          <w:szCs w:val="20"/>
        </w:rPr>
      </w:pPr>
    </w:p>
    <w:p w14:paraId="73BF3A6D" w14:textId="77777777" w:rsidR="006417DA" w:rsidRPr="006417DA" w:rsidRDefault="006417DA" w:rsidP="006417DA">
      <w:pPr>
        <w:shd w:val="clear" w:color="auto" w:fill="FFFFFF"/>
        <w:spacing w:after="0" w:line="240" w:lineRule="auto"/>
        <w:ind w:left="142"/>
        <w:jc w:val="both"/>
        <w:rPr>
          <w:rFonts w:ascii="Tenorite" w:hAnsi="Tenorite"/>
          <w:sz w:val="20"/>
          <w:szCs w:val="20"/>
        </w:rPr>
      </w:pPr>
      <w:hyperlink r:id="rId16" w:history="1">
        <w:r w:rsidRPr="006417DA">
          <w:rPr>
            <w:rStyle w:val="Lienhypertexte"/>
            <w:rFonts w:ascii="Tenorite" w:hAnsi="Tenorite"/>
            <w:sz w:val="20"/>
            <w:szCs w:val="20"/>
          </w:rPr>
          <w:t>Décision</w:t>
        </w:r>
      </w:hyperlink>
      <w:r w:rsidRPr="006417DA">
        <w:rPr>
          <w:rFonts w:ascii="Tenorite" w:hAnsi="Tenorite"/>
          <w:sz w:val="20"/>
          <w:szCs w:val="20"/>
        </w:rPr>
        <w:t xml:space="preserve"> d’exécution (UE) 2025/483 de la Commission du 14 mars 2025 refusant d’octroyer une autorisation de l’Union pour la famille de produits biocides dénommée INTERKOKASK conformément au règlement (UE) no 528/2012 du Parlement européen et du Conseil (JOUE 17/03/2025)</w:t>
      </w:r>
    </w:p>
    <w:p w14:paraId="7641C99F" w14:textId="77777777" w:rsidR="006417DA" w:rsidRPr="006417DA" w:rsidRDefault="006417DA" w:rsidP="006417DA">
      <w:pPr>
        <w:shd w:val="clear" w:color="auto" w:fill="FFFFFF"/>
        <w:tabs>
          <w:tab w:val="left" w:pos="2190"/>
        </w:tabs>
        <w:spacing w:after="0" w:line="240" w:lineRule="auto"/>
        <w:ind w:left="142"/>
        <w:jc w:val="both"/>
        <w:rPr>
          <w:rFonts w:ascii="Tenorite" w:hAnsi="Tenorite"/>
          <w:sz w:val="20"/>
          <w:szCs w:val="20"/>
        </w:rPr>
      </w:pPr>
    </w:p>
    <w:p w14:paraId="54E0C0D6" w14:textId="77777777" w:rsidR="006417DA" w:rsidRPr="006417DA" w:rsidRDefault="006417DA" w:rsidP="006417DA">
      <w:pPr>
        <w:shd w:val="clear" w:color="auto" w:fill="FFFFFF"/>
        <w:tabs>
          <w:tab w:val="left" w:pos="2190"/>
        </w:tabs>
        <w:spacing w:after="0" w:line="240" w:lineRule="auto"/>
        <w:ind w:left="142"/>
        <w:jc w:val="both"/>
        <w:rPr>
          <w:rFonts w:ascii="Tenorite" w:hAnsi="Tenorite"/>
          <w:sz w:val="20"/>
          <w:szCs w:val="20"/>
        </w:rPr>
      </w:pPr>
      <w:hyperlink r:id="rId17" w:history="1">
        <w:r w:rsidRPr="006417DA">
          <w:rPr>
            <w:rStyle w:val="Lienhypertexte"/>
            <w:rFonts w:ascii="Tenorite" w:hAnsi="Tenorite"/>
            <w:sz w:val="20"/>
            <w:szCs w:val="20"/>
          </w:rPr>
          <w:t>Décision</w:t>
        </w:r>
      </w:hyperlink>
      <w:r w:rsidRPr="006417DA">
        <w:rPr>
          <w:rFonts w:ascii="Tenorite" w:hAnsi="Tenorite"/>
          <w:sz w:val="20"/>
          <w:szCs w:val="20"/>
        </w:rPr>
        <w:t xml:space="preserve"> d’exécution (EU) 2025/485 de la Commission du 17 mars 2025 concernant la prorogation de la mesure prise par le </w:t>
      </w:r>
      <w:proofErr w:type="spellStart"/>
      <w:r w:rsidRPr="006417DA">
        <w:rPr>
          <w:rFonts w:ascii="Tenorite" w:hAnsi="Tenorite"/>
          <w:sz w:val="20"/>
          <w:szCs w:val="20"/>
        </w:rPr>
        <w:t>Health</w:t>
      </w:r>
      <w:proofErr w:type="spellEnd"/>
      <w:r w:rsidRPr="006417DA">
        <w:rPr>
          <w:rFonts w:ascii="Tenorite" w:hAnsi="Tenorite"/>
          <w:sz w:val="20"/>
          <w:szCs w:val="20"/>
        </w:rPr>
        <w:t xml:space="preserve"> and </w:t>
      </w:r>
      <w:proofErr w:type="spellStart"/>
      <w:r w:rsidRPr="006417DA">
        <w:rPr>
          <w:rFonts w:ascii="Tenorite" w:hAnsi="Tenorite"/>
          <w:sz w:val="20"/>
          <w:szCs w:val="20"/>
        </w:rPr>
        <w:t>Safety</w:t>
      </w:r>
      <w:proofErr w:type="spellEnd"/>
      <w:r w:rsidRPr="006417DA">
        <w:rPr>
          <w:rFonts w:ascii="Tenorite" w:hAnsi="Tenorite"/>
          <w:sz w:val="20"/>
          <w:szCs w:val="20"/>
        </w:rPr>
        <w:t xml:space="preserve"> </w:t>
      </w:r>
      <w:proofErr w:type="spellStart"/>
      <w:r w:rsidRPr="006417DA">
        <w:rPr>
          <w:rFonts w:ascii="Tenorite" w:hAnsi="Tenorite"/>
          <w:sz w:val="20"/>
          <w:szCs w:val="20"/>
        </w:rPr>
        <w:t>Executive</w:t>
      </w:r>
      <w:proofErr w:type="spellEnd"/>
      <w:r w:rsidRPr="006417DA">
        <w:rPr>
          <w:rFonts w:ascii="Tenorite" w:hAnsi="Tenorite"/>
          <w:sz w:val="20"/>
          <w:szCs w:val="20"/>
        </w:rPr>
        <w:t xml:space="preserve"> du Royaume-Uni autorisant la mise à disposition sur le marché et l’utilisation du produit biocide </w:t>
      </w:r>
      <w:proofErr w:type="spellStart"/>
      <w:r w:rsidRPr="006417DA">
        <w:rPr>
          <w:rFonts w:ascii="Tenorite" w:hAnsi="Tenorite"/>
          <w:sz w:val="20"/>
          <w:szCs w:val="20"/>
        </w:rPr>
        <w:t>Biobor</w:t>
      </w:r>
      <w:proofErr w:type="spellEnd"/>
      <w:r w:rsidRPr="006417DA">
        <w:rPr>
          <w:rFonts w:ascii="Tenorite" w:hAnsi="Tenorite"/>
          <w:sz w:val="20"/>
          <w:szCs w:val="20"/>
        </w:rPr>
        <w:t xml:space="preserve"> JF conformément au règlement (UE) no 528/2012 du Parlement européen et du Conseil (JOUE 18/03/2025)</w:t>
      </w:r>
    </w:p>
    <w:p w14:paraId="4D52B71F" w14:textId="77777777" w:rsidR="006417DA" w:rsidRPr="006417DA" w:rsidRDefault="006417DA" w:rsidP="006417DA">
      <w:pPr>
        <w:shd w:val="clear" w:color="auto" w:fill="FFFFFF"/>
        <w:spacing w:after="0" w:line="240" w:lineRule="auto"/>
        <w:ind w:left="142"/>
        <w:jc w:val="both"/>
        <w:rPr>
          <w:rFonts w:ascii="Tenorite" w:hAnsi="Tenorite"/>
          <w:sz w:val="20"/>
          <w:szCs w:val="20"/>
        </w:rPr>
      </w:pPr>
    </w:p>
    <w:p w14:paraId="7947F0E2" w14:textId="77777777" w:rsidR="006417DA" w:rsidRPr="006417DA" w:rsidRDefault="006417DA" w:rsidP="006417DA">
      <w:pPr>
        <w:shd w:val="clear" w:color="auto" w:fill="FFFFFF"/>
        <w:spacing w:after="0" w:line="240" w:lineRule="auto"/>
        <w:ind w:left="142"/>
        <w:jc w:val="both"/>
        <w:rPr>
          <w:rFonts w:ascii="Tenorite" w:hAnsi="Tenorite"/>
          <w:sz w:val="20"/>
          <w:szCs w:val="20"/>
        </w:rPr>
      </w:pPr>
      <w:hyperlink r:id="rId18" w:history="1">
        <w:r w:rsidRPr="006417DA">
          <w:rPr>
            <w:rStyle w:val="Lienhypertexte"/>
            <w:rFonts w:ascii="Tenorite" w:hAnsi="Tenorite"/>
            <w:sz w:val="20"/>
            <w:szCs w:val="20"/>
          </w:rPr>
          <w:t>Décision</w:t>
        </w:r>
      </w:hyperlink>
      <w:r w:rsidRPr="006417DA">
        <w:rPr>
          <w:rFonts w:ascii="Tenorite" w:hAnsi="Tenorite"/>
          <w:sz w:val="20"/>
          <w:szCs w:val="20"/>
        </w:rPr>
        <w:t xml:space="preserve"> d’exécution (UE) 2025/489 de la Commission du 17 mars 2025 concernant la prorogation de la mesure prise par l’autorité maltaise de la concurrence et de la consommation autorisant la mise à disposition sur le marché et l’utilisation du produit biocide </w:t>
      </w:r>
      <w:proofErr w:type="spellStart"/>
      <w:r w:rsidRPr="006417DA">
        <w:rPr>
          <w:rFonts w:ascii="Tenorite" w:hAnsi="Tenorite"/>
          <w:sz w:val="20"/>
          <w:szCs w:val="20"/>
        </w:rPr>
        <w:t>Biobor</w:t>
      </w:r>
      <w:proofErr w:type="spellEnd"/>
      <w:r w:rsidRPr="006417DA">
        <w:rPr>
          <w:rFonts w:ascii="Tenorite" w:hAnsi="Tenorite"/>
          <w:sz w:val="20"/>
          <w:szCs w:val="20"/>
        </w:rPr>
        <w:t xml:space="preserve"> JF conformément au règlement (UE) no 528/2012 du Parlement européen et du Conseil (JOUE 18/03/2025)</w:t>
      </w:r>
    </w:p>
    <w:p w14:paraId="57F0F906" w14:textId="77777777" w:rsidR="006417DA" w:rsidRPr="006417DA" w:rsidRDefault="006417DA" w:rsidP="006417DA">
      <w:pPr>
        <w:shd w:val="clear" w:color="auto" w:fill="FFFFFF"/>
        <w:spacing w:after="0" w:line="240" w:lineRule="auto"/>
        <w:ind w:left="142"/>
        <w:jc w:val="both"/>
        <w:rPr>
          <w:rFonts w:ascii="Tenorite" w:hAnsi="Tenorite"/>
          <w:sz w:val="20"/>
          <w:szCs w:val="20"/>
        </w:rPr>
      </w:pPr>
    </w:p>
    <w:p w14:paraId="528E3CCF" w14:textId="77777777" w:rsidR="006417DA" w:rsidRPr="006417DA" w:rsidRDefault="006417DA" w:rsidP="006417DA">
      <w:pPr>
        <w:shd w:val="clear" w:color="auto" w:fill="FFFFFF"/>
        <w:spacing w:after="0" w:line="240" w:lineRule="auto"/>
        <w:ind w:left="142"/>
        <w:jc w:val="both"/>
        <w:rPr>
          <w:rFonts w:ascii="Tenorite" w:hAnsi="Tenorite"/>
          <w:sz w:val="20"/>
          <w:szCs w:val="20"/>
        </w:rPr>
      </w:pPr>
      <w:hyperlink r:id="rId19" w:history="1">
        <w:r w:rsidRPr="006417DA">
          <w:rPr>
            <w:rStyle w:val="Lienhypertexte"/>
            <w:rFonts w:ascii="Tenorite" w:hAnsi="Tenorite"/>
            <w:sz w:val="20"/>
            <w:szCs w:val="20"/>
          </w:rPr>
          <w:t>Décision</w:t>
        </w:r>
      </w:hyperlink>
      <w:r w:rsidRPr="006417DA">
        <w:rPr>
          <w:rFonts w:ascii="Tenorite" w:hAnsi="Tenorite"/>
          <w:sz w:val="20"/>
          <w:szCs w:val="20"/>
        </w:rPr>
        <w:t xml:space="preserve"> d’exécution (UE) 2025/495 de la Commission du 17 mars 2025 concernant la prorogation de la mesure prise par le service public fédéral belge Santé publique, Sécurité de la Chaîne alimentaire et Environnement autorisant la mise à disposition sur le marché et l’utilisation du produit biocide </w:t>
      </w:r>
      <w:proofErr w:type="spellStart"/>
      <w:r w:rsidRPr="006417DA">
        <w:rPr>
          <w:rFonts w:ascii="Tenorite" w:hAnsi="Tenorite"/>
          <w:sz w:val="20"/>
          <w:szCs w:val="20"/>
        </w:rPr>
        <w:t>Interox</w:t>
      </w:r>
      <w:proofErr w:type="spellEnd"/>
      <w:r w:rsidRPr="006417DA">
        <w:rPr>
          <w:rFonts w:ascii="Tenorite" w:hAnsi="Tenorite"/>
          <w:sz w:val="20"/>
          <w:szCs w:val="20"/>
        </w:rPr>
        <w:t xml:space="preserve"> SG 35 Plus conformément au règlement (UE) no 528/2012 du Parlement européen et du Conseil (JOUE 19/03/2025)</w:t>
      </w:r>
    </w:p>
    <w:p w14:paraId="35BFC50A" w14:textId="77777777" w:rsidR="006417DA" w:rsidRPr="006417DA" w:rsidRDefault="006417DA" w:rsidP="006417DA">
      <w:pPr>
        <w:shd w:val="clear" w:color="auto" w:fill="FFFFFF"/>
        <w:spacing w:after="0" w:line="240" w:lineRule="auto"/>
        <w:ind w:left="142"/>
        <w:jc w:val="both"/>
        <w:rPr>
          <w:rFonts w:ascii="Tenorite" w:hAnsi="Tenorite"/>
          <w:sz w:val="20"/>
          <w:szCs w:val="20"/>
        </w:rPr>
      </w:pPr>
    </w:p>
    <w:p w14:paraId="18F6E36E" w14:textId="77777777" w:rsidR="006417DA" w:rsidRDefault="006417DA" w:rsidP="006417DA">
      <w:pPr>
        <w:shd w:val="clear" w:color="auto" w:fill="FFFFFF"/>
        <w:spacing w:after="0" w:line="240" w:lineRule="auto"/>
        <w:ind w:left="142"/>
        <w:jc w:val="both"/>
        <w:rPr>
          <w:rFonts w:ascii="Tenorite" w:hAnsi="Tenorite"/>
          <w:sz w:val="20"/>
          <w:szCs w:val="20"/>
        </w:rPr>
      </w:pPr>
      <w:hyperlink r:id="rId20" w:history="1">
        <w:r w:rsidRPr="006417DA">
          <w:rPr>
            <w:rStyle w:val="Lienhypertexte"/>
            <w:rFonts w:ascii="Tenorite" w:hAnsi="Tenorite"/>
            <w:sz w:val="20"/>
            <w:szCs w:val="20"/>
          </w:rPr>
          <w:t>Règlement</w:t>
        </w:r>
      </w:hyperlink>
      <w:r w:rsidRPr="006417DA">
        <w:rPr>
          <w:rFonts w:ascii="Tenorite" w:hAnsi="Tenorite"/>
          <w:sz w:val="20"/>
          <w:szCs w:val="20"/>
        </w:rPr>
        <w:t xml:space="preserve"> d’exécution (UE) 2025/523 de la Commission du 20 mars 2025 modifiant le règlement d’exécution (UE) 2023/1311 pour apporter des modifications administratives à l’autorisation de l’Union pour la famille de produits biocides dénommée CVAS </w:t>
      </w:r>
      <w:proofErr w:type="spellStart"/>
      <w:r w:rsidRPr="006417DA">
        <w:rPr>
          <w:rFonts w:ascii="Tenorite" w:hAnsi="Tenorite"/>
          <w:sz w:val="20"/>
          <w:szCs w:val="20"/>
        </w:rPr>
        <w:t>Biocidal</w:t>
      </w:r>
      <w:proofErr w:type="spellEnd"/>
      <w:r w:rsidRPr="006417DA">
        <w:rPr>
          <w:rFonts w:ascii="Tenorite" w:hAnsi="Tenorite"/>
          <w:sz w:val="20"/>
          <w:szCs w:val="20"/>
        </w:rPr>
        <w:t xml:space="preserve"> Product Family </w:t>
      </w:r>
      <w:proofErr w:type="spellStart"/>
      <w:r w:rsidRPr="006417DA">
        <w:rPr>
          <w:rFonts w:ascii="Tenorite" w:hAnsi="Tenorite"/>
          <w:sz w:val="20"/>
          <w:szCs w:val="20"/>
        </w:rPr>
        <w:t>based</w:t>
      </w:r>
      <w:proofErr w:type="spellEnd"/>
      <w:r w:rsidRPr="006417DA">
        <w:rPr>
          <w:rFonts w:ascii="Tenorite" w:hAnsi="Tenorite"/>
          <w:sz w:val="20"/>
          <w:szCs w:val="20"/>
        </w:rPr>
        <w:t xml:space="preserve"> on </w:t>
      </w:r>
      <w:proofErr w:type="gramStart"/>
      <w:r w:rsidRPr="006417DA">
        <w:rPr>
          <w:rFonts w:ascii="Tenorite" w:hAnsi="Tenorite"/>
          <w:sz w:val="20"/>
          <w:szCs w:val="20"/>
        </w:rPr>
        <w:t>L(</w:t>
      </w:r>
      <w:proofErr w:type="gramEnd"/>
      <w:r w:rsidRPr="006417DA">
        <w:rPr>
          <w:rFonts w:ascii="Tenorite" w:hAnsi="Tenorite"/>
          <w:sz w:val="20"/>
          <w:szCs w:val="20"/>
        </w:rPr>
        <w:t xml:space="preserve">+) </w:t>
      </w:r>
      <w:proofErr w:type="spellStart"/>
      <w:r w:rsidRPr="006417DA">
        <w:rPr>
          <w:rFonts w:ascii="Tenorite" w:hAnsi="Tenorite"/>
          <w:sz w:val="20"/>
          <w:szCs w:val="20"/>
        </w:rPr>
        <w:t>Lactic</w:t>
      </w:r>
      <w:proofErr w:type="spellEnd"/>
      <w:r w:rsidRPr="006417DA">
        <w:rPr>
          <w:rFonts w:ascii="Tenorite" w:hAnsi="Tenorite"/>
          <w:sz w:val="20"/>
          <w:szCs w:val="20"/>
        </w:rPr>
        <w:t xml:space="preserve"> Acid (JOUE 21/03/2025)</w:t>
      </w:r>
    </w:p>
    <w:p w14:paraId="52D2A79D" w14:textId="77777777" w:rsidR="006417DA" w:rsidRPr="006417DA" w:rsidRDefault="006417DA" w:rsidP="006417DA">
      <w:pPr>
        <w:shd w:val="clear" w:color="auto" w:fill="FFFFFF"/>
        <w:spacing w:after="0" w:line="240" w:lineRule="auto"/>
        <w:ind w:left="142"/>
        <w:jc w:val="both"/>
        <w:rPr>
          <w:rFonts w:ascii="Tenorite" w:hAnsi="Tenorite"/>
          <w:sz w:val="20"/>
          <w:szCs w:val="20"/>
        </w:rPr>
      </w:pPr>
    </w:p>
    <w:p w14:paraId="527FC1C9" w14:textId="77777777" w:rsidR="006417DA" w:rsidRPr="006417DA" w:rsidRDefault="006417DA" w:rsidP="006417DA">
      <w:pPr>
        <w:shd w:val="clear" w:color="auto" w:fill="FFFFFF"/>
        <w:spacing w:after="0" w:line="240" w:lineRule="auto"/>
        <w:ind w:left="142"/>
        <w:jc w:val="both"/>
        <w:rPr>
          <w:rFonts w:ascii="Tenorite" w:hAnsi="Tenorite"/>
          <w:sz w:val="20"/>
          <w:szCs w:val="20"/>
        </w:rPr>
      </w:pPr>
      <w:hyperlink r:id="rId21" w:history="1">
        <w:r w:rsidRPr="006417DA">
          <w:rPr>
            <w:rStyle w:val="Lienhypertexte"/>
            <w:rFonts w:ascii="Tenorite" w:hAnsi="Tenorite"/>
            <w:sz w:val="20"/>
            <w:szCs w:val="20"/>
          </w:rPr>
          <w:t>Règlement</w:t>
        </w:r>
      </w:hyperlink>
      <w:r w:rsidRPr="006417DA">
        <w:rPr>
          <w:rFonts w:ascii="Tenorite" w:hAnsi="Tenorite"/>
          <w:sz w:val="20"/>
          <w:szCs w:val="20"/>
        </w:rPr>
        <w:t xml:space="preserve"> d’exécution (UE) 2025/524 de la Commission du 20 mars 2025 octroyant une autorisation de l’Union pour la famille de produits biocides dénommée Sodium hypochlorite </w:t>
      </w:r>
      <w:proofErr w:type="spellStart"/>
      <w:r w:rsidRPr="006417DA">
        <w:rPr>
          <w:rFonts w:ascii="Tenorite" w:hAnsi="Tenorite"/>
          <w:sz w:val="20"/>
          <w:szCs w:val="20"/>
        </w:rPr>
        <w:t>Liquid</w:t>
      </w:r>
      <w:proofErr w:type="spellEnd"/>
      <w:r w:rsidRPr="006417DA">
        <w:rPr>
          <w:rFonts w:ascii="Tenorite" w:hAnsi="Tenorite"/>
          <w:sz w:val="20"/>
          <w:szCs w:val="20"/>
        </w:rPr>
        <w:t xml:space="preserve"> </w:t>
      </w:r>
      <w:proofErr w:type="spellStart"/>
      <w:r w:rsidRPr="006417DA">
        <w:rPr>
          <w:rFonts w:ascii="Tenorite" w:hAnsi="Tenorite"/>
          <w:sz w:val="20"/>
          <w:szCs w:val="20"/>
        </w:rPr>
        <w:t>disinfectant</w:t>
      </w:r>
      <w:proofErr w:type="spellEnd"/>
      <w:r w:rsidRPr="006417DA">
        <w:rPr>
          <w:rFonts w:ascii="Tenorite" w:hAnsi="Tenorite"/>
          <w:sz w:val="20"/>
          <w:szCs w:val="20"/>
        </w:rPr>
        <w:t xml:space="preserve"> </w:t>
      </w:r>
      <w:proofErr w:type="spellStart"/>
      <w:r w:rsidRPr="006417DA">
        <w:rPr>
          <w:rFonts w:ascii="Tenorite" w:hAnsi="Tenorite"/>
          <w:sz w:val="20"/>
          <w:szCs w:val="20"/>
        </w:rPr>
        <w:t>biocidal</w:t>
      </w:r>
      <w:proofErr w:type="spellEnd"/>
      <w:r w:rsidRPr="006417DA">
        <w:rPr>
          <w:rFonts w:ascii="Tenorite" w:hAnsi="Tenorite"/>
          <w:sz w:val="20"/>
          <w:szCs w:val="20"/>
        </w:rPr>
        <w:t xml:space="preserve"> </w:t>
      </w:r>
      <w:proofErr w:type="spellStart"/>
      <w:r w:rsidRPr="006417DA">
        <w:rPr>
          <w:rFonts w:ascii="Tenorite" w:hAnsi="Tenorite"/>
          <w:sz w:val="20"/>
          <w:szCs w:val="20"/>
        </w:rPr>
        <w:t>product</w:t>
      </w:r>
      <w:proofErr w:type="spellEnd"/>
      <w:r w:rsidRPr="006417DA">
        <w:rPr>
          <w:rFonts w:ascii="Tenorite" w:hAnsi="Tenorite"/>
          <w:sz w:val="20"/>
          <w:szCs w:val="20"/>
        </w:rPr>
        <w:t xml:space="preserve"> </w:t>
      </w:r>
      <w:proofErr w:type="spellStart"/>
      <w:r w:rsidRPr="006417DA">
        <w:rPr>
          <w:rFonts w:ascii="Tenorite" w:hAnsi="Tenorite"/>
          <w:sz w:val="20"/>
          <w:szCs w:val="20"/>
        </w:rPr>
        <w:t>family</w:t>
      </w:r>
      <w:proofErr w:type="spellEnd"/>
      <w:r w:rsidRPr="006417DA">
        <w:rPr>
          <w:rFonts w:ascii="Tenorite" w:hAnsi="Tenorite"/>
          <w:sz w:val="20"/>
          <w:szCs w:val="20"/>
        </w:rPr>
        <w:t xml:space="preserve"> conformément au règlement (UE) no 528/2012 du Parlement européen et du Conseil (JOUE 24/03/2025)</w:t>
      </w:r>
    </w:p>
    <w:p w14:paraId="431DB834" w14:textId="77777777" w:rsidR="002B7CB6" w:rsidRPr="006417DA" w:rsidRDefault="002B7CB6" w:rsidP="006417DA">
      <w:pPr>
        <w:spacing w:after="0" w:line="240" w:lineRule="auto"/>
        <w:ind w:left="142"/>
        <w:rPr>
          <w:rFonts w:ascii="Tenorite" w:eastAsia="MS Gothic" w:hAnsi="Tenorite" w:cs="Segoe UI Symbol"/>
          <w:b/>
          <w:sz w:val="28"/>
        </w:rPr>
      </w:pPr>
    </w:p>
    <w:p w14:paraId="6630880B" w14:textId="670186DB" w:rsidR="002B7CB6" w:rsidRPr="006417DA" w:rsidRDefault="00767DBA" w:rsidP="006417DA">
      <w:pPr>
        <w:shd w:val="clear" w:color="auto" w:fill="D9D9D9" w:themeFill="background1" w:themeFillShade="D9"/>
        <w:spacing w:after="0" w:line="240" w:lineRule="auto"/>
        <w:ind w:left="142"/>
        <w:rPr>
          <w:rFonts w:ascii="Tenorite" w:hAnsi="Tenorite"/>
          <w:b/>
          <w:color w:val="833C0B" w:themeColor="accent2" w:themeShade="80"/>
          <w:sz w:val="24"/>
        </w:rPr>
      </w:pPr>
      <w:r w:rsidRPr="006417DA">
        <w:rPr>
          <w:rFonts w:ascii="Tenorite" w:hAnsi="Tenorite"/>
          <w:b/>
          <w:color w:val="833C0B" w:themeColor="accent2" w:themeShade="80"/>
          <w:sz w:val="24"/>
        </w:rPr>
        <w:t>SUBSTANCES CHIMIQUES ET CONTAMINANTS</w:t>
      </w:r>
    </w:p>
    <w:p w14:paraId="75E61D11" w14:textId="29519874" w:rsidR="00767DBA" w:rsidRPr="006417DA" w:rsidRDefault="00767DBA"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Acrylamide</w:t>
      </w:r>
      <w:r w:rsidR="009E6EA2">
        <w:rPr>
          <w:rFonts w:ascii="Tenorite" w:hAnsi="Tenorite"/>
          <w:color w:val="C45911" w:themeColor="accent2" w:themeShade="BF"/>
          <w:sz w:val="20"/>
        </w:rPr>
        <w:t xml:space="preserve"> /</w:t>
      </w:r>
    </w:p>
    <w:p w14:paraId="078DE143" w14:textId="03448EE4" w:rsidR="00767DBA" w:rsidRPr="006417DA" w:rsidRDefault="00767DBA"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BPA</w:t>
      </w:r>
      <w:r w:rsidR="009E6EA2">
        <w:rPr>
          <w:rFonts w:ascii="Tenorite" w:hAnsi="Tenorite"/>
          <w:color w:val="C45911" w:themeColor="accent2" w:themeShade="BF"/>
          <w:sz w:val="20"/>
        </w:rPr>
        <w:t xml:space="preserve"> /</w:t>
      </w:r>
    </w:p>
    <w:p w14:paraId="200A0031" w14:textId="11D06E17" w:rsidR="002B7CB6" w:rsidRPr="006417DA" w:rsidRDefault="002B7CB6"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Dioxine, PCB</w:t>
      </w:r>
      <w:r w:rsidR="009E6EA2">
        <w:rPr>
          <w:rFonts w:ascii="Tenorite" w:hAnsi="Tenorite"/>
          <w:color w:val="C45911" w:themeColor="accent2" w:themeShade="BF"/>
          <w:sz w:val="20"/>
        </w:rPr>
        <w:t xml:space="preserve"> /</w:t>
      </w:r>
    </w:p>
    <w:p w14:paraId="0DF8123B" w14:textId="43C0DEEF" w:rsidR="00767DBA" w:rsidRPr="006417DA" w:rsidRDefault="00767DBA"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Huiles minérales</w:t>
      </w:r>
      <w:r w:rsidR="009E6EA2">
        <w:rPr>
          <w:rFonts w:ascii="Tenorite" w:hAnsi="Tenorite"/>
          <w:color w:val="C45911" w:themeColor="accent2" w:themeShade="BF"/>
          <w:sz w:val="20"/>
        </w:rPr>
        <w:t xml:space="preserve"> /</w:t>
      </w:r>
    </w:p>
    <w:p w14:paraId="75D86915" w14:textId="6B817127" w:rsidR="002B7CB6" w:rsidRPr="006417DA" w:rsidRDefault="002B7CB6"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Médicaments vétérinaires</w:t>
      </w:r>
      <w:r w:rsidR="009E6EA2">
        <w:rPr>
          <w:rFonts w:ascii="Tenorite" w:hAnsi="Tenorite"/>
          <w:color w:val="C45911" w:themeColor="accent2" w:themeShade="BF"/>
          <w:sz w:val="20"/>
        </w:rPr>
        <w:t xml:space="preserve"> /</w:t>
      </w:r>
    </w:p>
    <w:p w14:paraId="0A443900" w14:textId="0545FCEF" w:rsidR="002B7CB6" w:rsidRPr="006417DA" w:rsidRDefault="002B7CB6"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Métaux lourds</w:t>
      </w:r>
      <w:r w:rsidR="009E6EA2">
        <w:rPr>
          <w:rFonts w:ascii="Tenorite" w:hAnsi="Tenorite"/>
          <w:color w:val="C45911" w:themeColor="accent2" w:themeShade="BF"/>
          <w:sz w:val="20"/>
        </w:rPr>
        <w:t xml:space="preserve"> /</w:t>
      </w:r>
    </w:p>
    <w:p w14:paraId="764B7DE7" w14:textId="03AAFC00" w:rsidR="002B7CB6" w:rsidRPr="006417DA" w:rsidRDefault="002B7CB6"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Mycotoxines</w:t>
      </w:r>
      <w:r w:rsidR="009E6EA2">
        <w:rPr>
          <w:rFonts w:ascii="Tenorite" w:hAnsi="Tenorite"/>
          <w:color w:val="C45911" w:themeColor="accent2" w:themeShade="BF"/>
          <w:sz w:val="20"/>
        </w:rPr>
        <w:t xml:space="preserve"> /</w:t>
      </w:r>
    </w:p>
    <w:p w14:paraId="71D5CD6D" w14:textId="51923F1A" w:rsidR="00767DBA" w:rsidRPr="006417DA" w:rsidRDefault="00767DBA"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 xml:space="preserve">Perturbateurs endocriniens </w:t>
      </w:r>
      <w:r w:rsidR="009E6EA2">
        <w:rPr>
          <w:rFonts w:ascii="Tenorite" w:hAnsi="Tenorite"/>
          <w:color w:val="C45911" w:themeColor="accent2" w:themeShade="BF"/>
          <w:sz w:val="20"/>
        </w:rPr>
        <w:t>/</w:t>
      </w:r>
    </w:p>
    <w:p w14:paraId="4929FD01" w14:textId="0CD210A9" w:rsidR="002B7CB6" w:rsidRPr="006417DA" w:rsidRDefault="002B7CB6"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Pesticides</w:t>
      </w:r>
    </w:p>
    <w:p w14:paraId="4F5F91ED" w14:textId="77777777" w:rsidR="001767C2" w:rsidRDefault="001767C2" w:rsidP="006417DA">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6417DA">
        <w:rPr>
          <w:rFonts w:ascii="Tenorite" w:eastAsia="Times New Roman" w:hAnsi="Tenorite" w:cs="Times New Roman"/>
          <w:b/>
          <w:bCs/>
          <w:color w:val="636363"/>
          <w:sz w:val="20"/>
          <w:szCs w:val="20"/>
          <w:lang w:eastAsia="fr-FR"/>
        </w:rPr>
        <w:t>Instruction technique </w:t>
      </w:r>
      <w:hyperlink r:id="rId22" w:history="1">
        <w:r w:rsidRPr="006417DA">
          <w:rPr>
            <w:rFonts w:ascii="Tenorite" w:eastAsia="Times New Roman" w:hAnsi="Tenorite" w:cs="Times New Roman"/>
            <w:color w:val="0088CC"/>
            <w:sz w:val="20"/>
            <w:szCs w:val="20"/>
            <w:u w:val="single"/>
            <w:lang w:eastAsia="fr-FR"/>
          </w:rPr>
          <w:t>DGAL/SDSSA/2025-118</w:t>
        </w:r>
      </w:hyperlink>
      <w:r w:rsidRPr="006417DA">
        <w:rPr>
          <w:rFonts w:ascii="Tenorite" w:eastAsia="Times New Roman" w:hAnsi="Tenorite" w:cs="Times New Roman"/>
          <w:color w:val="636363"/>
          <w:sz w:val="20"/>
          <w:szCs w:val="20"/>
          <w:lang w:eastAsia="fr-FR"/>
        </w:rPr>
        <w:t> du 11-03-2025 - Cadre réglementaire applicable aux résidus de pesticides sur et dans les denrées alimentaires (DGAL)</w:t>
      </w:r>
    </w:p>
    <w:p w14:paraId="68A538FC" w14:textId="77777777" w:rsidR="006417DA" w:rsidRPr="006417DA" w:rsidRDefault="006417DA" w:rsidP="006417DA">
      <w:pPr>
        <w:shd w:val="clear" w:color="auto" w:fill="FFFFFF"/>
        <w:spacing w:after="0" w:line="240" w:lineRule="auto"/>
        <w:ind w:left="142"/>
        <w:jc w:val="both"/>
        <w:rPr>
          <w:rFonts w:ascii="Tenorite" w:hAnsi="Tenorite"/>
          <w:sz w:val="20"/>
          <w:szCs w:val="20"/>
        </w:rPr>
      </w:pPr>
    </w:p>
    <w:p w14:paraId="16D4E7CD" w14:textId="77777777" w:rsidR="001767C2" w:rsidRDefault="001767C2" w:rsidP="006417DA">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23" w:history="1">
        <w:r w:rsidRPr="006417DA">
          <w:rPr>
            <w:rStyle w:val="Lienhypertexte"/>
            <w:rFonts w:ascii="Tenorite" w:eastAsia="Times New Roman" w:hAnsi="Tenorite" w:cs="Times New Roman"/>
            <w:sz w:val="20"/>
            <w:szCs w:val="20"/>
            <w:lang w:eastAsia="fr-FR"/>
          </w:rPr>
          <w:t>Règlement</w:t>
        </w:r>
      </w:hyperlink>
      <w:r w:rsidRPr="006417DA">
        <w:rPr>
          <w:rFonts w:ascii="Tenorite" w:eastAsia="Times New Roman" w:hAnsi="Tenorite" w:cs="Times New Roman"/>
          <w:color w:val="636363"/>
          <w:sz w:val="20"/>
          <w:szCs w:val="20"/>
          <w:lang w:eastAsia="fr-FR"/>
        </w:rPr>
        <w:t xml:space="preserve"> (UE) 2025/581 de la Commission du 27 mars 2025 modifiant les annexes II et IV du règlement (CE) no 396/2005 du Parlement européen et du Conseil en ce qui concerne les limites maximales applicables aux résidus de cycloxydime, de dichlorprop-P, de </w:t>
      </w:r>
      <w:proofErr w:type="spellStart"/>
      <w:r w:rsidRPr="006417DA">
        <w:rPr>
          <w:rFonts w:ascii="Tenorite" w:eastAsia="Times New Roman" w:hAnsi="Tenorite" w:cs="Times New Roman"/>
          <w:color w:val="636363"/>
          <w:sz w:val="20"/>
          <w:szCs w:val="20"/>
          <w:lang w:eastAsia="fr-FR"/>
        </w:rPr>
        <w:t>flupyradifurone</w:t>
      </w:r>
      <w:proofErr w:type="spellEnd"/>
      <w:r w:rsidRPr="006417DA">
        <w:rPr>
          <w:rFonts w:ascii="Tenorite" w:eastAsia="Times New Roman" w:hAnsi="Tenorite" w:cs="Times New Roman"/>
          <w:color w:val="636363"/>
          <w:sz w:val="20"/>
          <w:szCs w:val="20"/>
          <w:lang w:eastAsia="fr-FR"/>
        </w:rPr>
        <w:t xml:space="preserve">, de </w:t>
      </w:r>
      <w:proofErr w:type="spellStart"/>
      <w:r w:rsidRPr="006417DA">
        <w:rPr>
          <w:rFonts w:ascii="Tenorite" w:eastAsia="Times New Roman" w:hAnsi="Tenorite" w:cs="Times New Roman"/>
          <w:color w:val="636363"/>
          <w:sz w:val="20"/>
          <w:szCs w:val="20"/>
          <w:lang w:eastAsia="fr-FR"/>
        </w:rPr>
        <w:t>méthylnonylcétone</w:t>
      </w:r>
      <w:proofErr w:type="spellEnd"/>
      <w:r w:rsidRPr="006417DA">
        <w:rPr>
          <w:rFonts w:ascii="Tenorite" w:eastAsia="Times New Roman" w:hAnsi="Tenorite" w:cs="Times New Roman"/>
          <w:color w:val="636363"/>
          <w:sz w:val="20"/>
          <w:szCs w:val="20"/>
          <w:lang w:eastAsia="fr-FR"/>
        </w:rPr>
        <w:t xml:space="preserve">, d’huiles </w:t>
      </w:r>
      <w:proofErr w:type="gramStart"/>
      <w:r w:rsidRPr="006417DA">
        <w:rPr>
          <w:rFonts w:ascii="Tenorite" w:eastAsia="Times New Roman" w:hAnsi="Tenorite" w:cs="Times New Roman"/>
          <w:color w:val="636363"/>
          <w:sz w:val="20"/>
          <w:szCs w:val="20"/>
          <w:lang w:eastAsia="fr-FR"/>
        </w:rPr>
        <w:t>végétales:</w:t>
      </w:r>
      <w:proofErr w:type="gramEnd"/>
      <w:r w:rsidRPr="006417DA">
        <w:rPr>
          <w:rFonts w:ascii="Tenorite" w:eastAsia="Times New Roman" w:hAnsi="Tenorite" w:cs="Times New Roman"/>
          <w:color w:val="636363"/>
          <w:sz w:val="20"/>
          <w:szCs w:val="20"/>
          <w:lang w:eastAsia="fr-FR"/>
        </w:rPr>
        <w:t xml:space="preserve"> huile de citronnelle, de </w:t>
      </w:r>
      <w:proofErr w:type="spellStart"/>
      <w:r w:rsidRPr="006417DA">
        <w:rPr>
          <w:rFonts w:ascii="Tenorite" w:eastAsia="Times New Roman" w:hAnsi="Tenorite" w:cs="Times New Roman"/>
          <w:color w:val="636363"/>
          <w:sz w:val="20"/>
          <w:szCs w:val="20"/>
          <w:lang w:eastAsia="fr-FR"/>
        </w:rPr>
        <w:t>sorbate</w:t>
      </w:r>
      <w:proofErr w:type="spellEnd"/>
      <w:r w:rsidRPr="006417DA">
        <w:rPr>
          <w:rFonts w:ascii="Tenorite" w:eastAsia="Times New Roman" w:hAnsi="Tenorite" w:cs="Times New Roman"/>
          <w:color w:val="636363"/>
          <w:sz w:val="20"/>
          <w:szCs w:val="20"/>
          <w:lang w:eastAsia="fr-FR"/>
        </w:rPr>
        <w:t xml:space="preserve"> de potassium et de </w:t>
      </w:r>
      <w:proofErr w:type="spellStart"/>
      <w:r w:rsidRPr="006417DA">
        <w:rPr>
          <w:rFonts w:ascii="Tenorite" w:eastAsia="Times New Roman" w:hAnsi="Tenorite" w:cs="Times New Roman"/>
          <w:color w:val="636363"/>
          <w:sz w:val="20"/>
          <w:szCs w:val="20"/>
          <w:lang w:eastAsia="fr-FR"/>
        </w:rPr>
        <w:t>phosphonate</w:t>
      </w:r>
      <w:proofErr w:type="spellEnd"/>
      <w:r w:rsidRPr="006417DA">
        <w:rPr>
          <w:rFonts w:ascii="Tenorite" w:eastAsia="Times New Roman" w:hAnsi="Tenorite" w:cs="Times New Roman"/>
          <w:color w:val="636363"/>
          <w:sz w:val="20"/>
          <w:szCs w:val="20"/>
          <w:lang w:eastAsia="fr-FR"/>
        </w:rPr>
        <w:t xml:space="preserve"> de </w:t>
      </w:r>
      <w:proofErr w:type="gramStart"/>
      <w:r w:rsidRPr="006417DA">
        <w:rPr>
          <w:rFonts w:ascii="Tenorite" w:eastAsia="Times New Roman" w:hAnsi="Tenorite" w:cs="Times New Roman"/>
          <w:color w:val="636363"/>
          <w:sz w:val="20"/>
          <w:szCs w:val="20"/>
          <w:lang w:eastAsia="fr-FR"/>
        </w:rPr>
        <w:t>potassium présents</w:t>
      </w:r>
      <w:proofErr w:type="gramEnd"/>
      <w:r w:rsidRPr="006417DA">
        <w:rPr>
          <w:rFonts w:ascii="Tenorite" w:eastAsia="Times New Roman" w:hAnsi="Tenorite" w:cs="Times New Roman"/>
          <w:color w:val="636363"/>
          <w:sz w:val="20"/>
          <w:szCs w:val="20"/>
          <w:lang w:eastAsia="fr-FR"/>
        </w:rPr>
        <w:t xml:space="preserve"> dans ou sur certains produits (JOUE 28/03/2025)</w:t>
      </w:r>
    </w:p>
    <w:p w14:paraId="7191E6F0" w14:textId="77777777" w:rsidR="006417DA" w:rsidRPr="006417DA" w:rsidRDefault="006417DA" w:rsidP="006417DA">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7B15C6BD" w14:textId="712B6435" w:rsidR="00767DBA" w:rsidRPr="006417DA" w:rsidRDefault="00767DBA"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PFAS</w:t>
      </w:r>
      <w:r w:rsidR="009E6EA2">
        <w:rPr>
          <w:rFonts w:ascii="Tenorite" w:hAnsi="Tenorite"/>
          <w:color w:val="C45911" w:themeColor="accent2" w:themeShade="BF"/>
          <w:sz w:val="20"/>
        </w:rPr>
        <w:t xml:space="preserve"> /</w:t>
      </w:r>
    </w:p>
    <w:p w14:paraId="6ADBF364" w14:textId="0B600288" w:rsidR="002B7CB6" w:rsidRPr="006417DA" w:rsidRDefault="002B7CB6"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Radioactivité</w:t>
      </w:r>
      <w:r w:rsidR="009E6EA2">
        <w:rPr>
          <w:rFonts w:ascii="Tenorite" w:hAnsi="Tenorite"/>
          <w:color w:val="C45911" w:themeColor="accent2" w:themeShade="BF"/>
          <w:sz w:val="20"/>
        </w:rPr>
        <w:t xml:space="preserve"> /</w:t>
      </w:r>
    </w:p>
    <w:p w14:paraId="1012E99E" w14:textId="77777777" w:rsidR="005F3EA3" w:rsidRDefault="005F3EA3" w:rsidP="006417DA">
      <w:pPr>
        <w:spacing w:after="0" w:line="240" w:lineRule="auto"/>
        <w:ind w:left="142"/>
        <w:rPr>
          <w:rFonts w:ascii="Tenorite" w:eastAsia="MS Gothic" w:hAnsi="Tenorite" w:cs="Segoe UI Symbol"/>
          <w:b/>
          <w:sz w:val="28"/>
        </w:rPr>
      </w:pPr>
    </w:p>
    <w:p w14:paraId="2BD7CA70" w14:textId="77777777" w:rsidR="003A504F" w:rsidRPr="006417DA" w:rsidRDefault="003A504F" w:rsidP="006417DA">
      <w:pPr>
        <w:spacing w:after="0" w:line="240" w:lineRule="auto"/>
        <w:ind w:left="142"/>
        <w:rPr>
          <w:rFonts w:ascii="Tenorite" w:eastAsia="MS Gothic" w:hAnsi="Tenorite" w:cs="Segoe UI Symbol"/>
          <w:b/>
          <w:sz w:val="28"/>
        </w:rPr>
      </w:pPr>
    </w:p>
    <w:p w14:paraId="2115C4F0" w14:textId="01B12948" w:rsidR="002B7CB6" w:rsidRPr="006417DA" w:rsidRDefault="002B7CB6" w:rsidP="006417DA">
      <w:pPr>
        <w:shd w:val="clear" w:color="auto" w:fill="D9D9D9" w:themeFill="background1" w:themeFillShade="D9"/>
        <w:spacing w:after="0" w:line="240" w:lineRule="auto"/>
        <w:ind w:left="142"/>
        <w:rPr>
          <w:rFonts w:ascii="Tenorite" w:hAnsi="Tenorite"/>
          <w:b/>
          <w:color w:val="833C0B" w:themeColor="accent2" w:themeShade="80"/>
          <w:sz w:val="24"/>
        </w:rPr>
      </w:pPr>
      <w:r w:rsidRPr="006417DA">
        <w:rPr>
          <w:rFonts w:ascii="Tenorite" w:hAnsi="Tenorite"/>
          <w:b/>
          <w:color w:val="833C0B" w:themeColor="accent2" w:themeShade="80"/>
          <w:sz w:val="24"/>
        </w:rPr>
        <w:t xml:space="preserve">ETIQUETAGE </w:t>
      </w:r>
      <w:r w:rsidR="00767DBA" w:rsidRPr="006417DA">
        <w:rPr>
          <w:rFonts w:ascii="Tenorite" w:hAnsi="Tenorite"/>
          <w:b/>
          <w:color w:val="833C0B" w:themeColor="accent2" w:themeShade="80"/>
          <w:sz w:val="24"/>
        </w:rPr>
        <w:t>ET PRESENTATION DES PRODUITS</w:t>
      </w:r>
    </w:p>
    <w:p w14:paraId="13F8048B" w14:textId="2FEF0448" w:rsidR="00767DBA" w:rsidRPr="006417DA" w:rsidRDefault="00767DBA"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Environnemental</w:t>
      </w:r>
      <w:r w:rsidR="009E6EA2">
        <w:rPr>
          <w:rFonts w:ascii="Tenorite" w:hAnsi="Tenorite"/>
          <w:color w:val="C45911" w:themeColor="accent2" w:themeShade="BF"/>
          <w:sz w:val="20"/>
        </w:rPr>
        <w:t xml:space="preserve"> /</w:t>
      </w:r>
    </w:p>
    <w:p w14:paraId="5B30DC1D" w14:textId="04D0DA68" w:rsidR="002F17D1" w:rsidRPr="006417DA" w:rsidRDefault="002B7CB6"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Général</w:t>
      </w:r>
      <w:r w:rsidR="009E6EA2">
        <w:rPr>
          <w:rFonts w:ascii="Tenorite" w:hAnsi="Tenorite"/>
          <w:color w:val="C45911" w:themeColor="accent2" w:themeShade="BF"/>
          <w:sz w:val="20"/>
        </w:rPr>
        <w:t xml:space="preserve"> /</w:t>
      </w:r>
    </w:p>
    <w:p w14:paraId="7C7935D3" w14:textId="44B07534" w:rsidR="002B7CB6" w:rsidRPr="006417DA" w:rsidRDefault="002B7CB6"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Nutritionnel</w:t>
      </w:r>
      <w:r w:rsidR="009E6EA2">
        <w:rPr>
          <w:rFonts w:ascii="Tenorite" w:hAnsi="Tenorite"/>
          <w:color w:val="C45911" w:themeColor="accent2" w:themeShade="BF"/>
          <w:sz w:val="20"/>
        </w:rPr>
        <w:t xml:space="preserve"> /</w:t>
      </w:r>
    </w:p>
    <w:p w14:paraId="5112D211" w14:textId="77777777" w:rsidR="002F17D1" w:rsidRPr="006417DA" w:rsidRDefault="002F17D1" w:rsidP="006417DA">
      <w:pPr>
        <w:spacing w:after="0" w:line="240" w:lineRule="auto"/>
        <w:ind w:left="142"/>
        <w:rPr>
          <w:rFonts w:ascii="Tenorite" w:hAnsi="Tenorite"/>
          <w:color w:val="C45911" w:themeColor="accent2" w:themeShade="BF"/>
          <w:sz w:val="20"/>
        </w:rPr>
      </w:pPr>
    </w:p>
    <w:p w14:paraId="5A11BE1A" w14:textId="77777777" w:rsidR="002B7CB6" w:rsidRPr="006417DA" w:rsidRDefault="002B7CB6" w:rsidP="006417DA">
      <w:pPr>
        <w:shd w:val="clear" w:color="auto" w:fill="D9D9D9" w:themeFill="background1" w:themeFillShade="D9"/>
        <w:spacing w:after="0" w:line="240" w:lineRule="auto"/>
        <w:ind w:left="142"/>
        <w:rPr>
          <w:rFonts w:ascii="Tenorite" w:hAnsi="Tenorite"/>
          <w:b/>
          <w:color w:val="833C0B" w:themeColor="accent2" w:themeShade="80"/>
          <w:sz w:val="24"/>
        </w:rPr>
      </w:pPr>
      <w:r w:rsidRPr="006417DA">
        <w:rPr>
          <w:rFonts w:ascii="Tenorite" w:hAnsi="Tenorite"/>
          <w:b/>
          <w:color w:val="833C0B" w:themeColor="accent2" w:themeShade="80"/>
          <w:sz w:val="24"/>
        </w:rPr>
        <w:lastRenderedPageBreak/>
        <w:t xml:space="preserve">HYGIENE ET SECURITE DES ALIMENTS </w:t>
      </w:r>
    </w:p>
    <w:p w14:paraId="75B6C2CF" w14:textId="006C19F0" w:rsidR="002F17D1" w:rsidRPr="006417DA" w:rsidRDefault="002B7CB6"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Agrément sanitaire</w:t>
      </w:r>
      <w:r w:rsidR="009E6EA2">
        <w:rPr>
          <w:rFonts w:ascii="Tenorite" w:hAnsi="Tenorite"/>
          <w:color w:val="C45911" w:themeColor="accent2" w:themeShade="BF"/>
          <w:sz w:val="20"/>
        </w:rPr>
        <w:t xml:space="preserve"> /</w:t>
      </w:r>
    </w:p>
    <w:p w14:paraId="22B99406" w14:textId="01981516" w:rsidR="00767DBA" w:rsidRPr="006417DA" w:rsidRDefault="00767DBA"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Allergènes</w:t>
      </w:r>
      <w:r w:rsidR="009E6EA2">
        <w:rPr>
          <w:rFonts w:ascii="Tenorite" w:hAnsi="Tenorite"/>
          <w:color w:val="C45911" w:themeColor="accent2" w:themeShade="BF"/>
          <w:sz w:val="20"/>
        </w:rPr>
        <w:t xml:space="preserve"> /</w:t>
      </w:r>
    </w:p>
    <w:p w14:paraId="7F5C7775" w14:textId="0407FDE2" w:rsidR="002F17D1" w:rsidRPr="006417DA" w:rsidRDefault="002B7CB6"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Bulletins épidémiologiques</w:t>
      </w:r>
      <w:r w:rsidR="009E6EA2">
        <w:rPr>
          <w:rFonts w:ascii="Tenorite" w:hAnsi="Tenorite"/>
          <w:color w:val="C45911" w:themeColor="accent2" w:themeShade="BF"/>
          <w:sz w:val="20"/>
        </w:rPr>
        <w:t xml:space="preserve"> /</w:t>
      </w:r>
    </w:p>
    <w:p w14:paraId="5C4E0C63" w14:textId="435E840F" w:rsidR="00767DBA" w:rsidRPr="006417DA" w:rsidRDefault="00767DBA" w:rsidP="006417DA">
      <w:pPr>
        <w:spacing w:after="0" w:line="240" w:lineRule="auto"/>
        <w:ind w:left="142"/>
        <w:rPr>
          <w:rFonts w:ascii="Tenorite" w:hAnsi="Tenorite"/>
          <w:color w:val="C45911" w:themeColor="accent2" w:themeShade="BF"/>
          <w:sz w:val="20"/>
        </w:rPr>
      </w:pPr>
      <w:proofErr w:type="spellStart"/>
      <w:r w:rsidRPr="006417DA">
        <w:rPr>
          <w:rFonts w:ascii="Tenorite" w:hAnsi="Tenorite"/>
          <w:color w:val="C45911" w:themeColor="accent2" w:themeShade="BF"/>
          <w:sz w:val="20"/>
        </w:rPr>
        <w:t>BuSCA</w:t>
      </w:r>
      <w:proofErr w:type="spellEnd"/>
    </w:p>
    <w:p w14:paraId="73D00432" w14:textId="77777777" w:rsidR="001767C2" w:rsidRPr="006417DA" w:rsidRDefault="001767C2" w:rsidP="006417DA">
      <w:pPr>
        <w:adjustRightInd w:val="0"/>
        <w:spacing w:after="0" w:line="240" w:lineRule="auto"/>
        <w:ind w:left="142"/>
        <w:jc w:val="both"/>
        <w:rPr>
          <w:rFonts w:ascii="Tenorite" w:hAnsi="Tenorite"/>
          <w:sz w:val="20"/>
          <w:szCs w:val="20"/>
        </w:rPr>
      </w:pPr>
      <w:hyperlink r:id="rId24" w:history="1">
        <w:proofErr w:type="spellStart"/>
        <w:r w:rsidRPr="006417DA">
          <w:rPr>
            <w:rStyle w:val="Lienhypertexte"/>
            <w:rFonts w:ascii="Tenorite" w:hAnsi="Tenorite"/>
            <w:sz w:val="20"/>
            <w:szCs w:val="20"/>
          </w:rPr>
          <w:t>BuSCA</w:t>
        </w:r>
        <w:proofErr w:type="spellEnd"/>
        <w:r w:rsidRPr="006417DA">
          <w:rPr>
            <w:rStyle w:val="Lienhypertexte"/>
            <w:rFonts w:ascii="Tenorite" w:hAnsi="Tenorite"/>
            <w:sz w:val="20"/>
            <w:szCs w:val="20"/>
          </w:rPr>
          <w:t xml:space="preserve"> n°128</w:t>
        </w:r>
      </w:hyperlink>
      <w:r w:rsidRPr="006417DA">
        <w:rPr>
          <w:rFonts w:ascii="Tenorite" w:hAnsi="Tenorite"/>
          <w:sz w:val="20"/>
          <w:szCs w:val="20"/>
        </w:rPr>
        <w:t>– 06 mars 2025, Plateforme de surveillance de la chaîne alimentaire</w:t>
      </w:r>
    </w:p>
    <w:p w14:paraId="5F6ACE3D" w14:textId="466D8D3C" w:rsidR="001767C2" w:rsidRPr="006417DA" w:rsidRDefault="001767C2" w:rsidP="006417DA">
      <w:pPr>
        <w:adjustRightInd w:val="0"/>
        <w:spacing w:after="0" w:line="240" w:lineRule="auto"/>
        <w:ind w:left="142"/>
        <w:jc w:val="both"/>
        <w:rPr>
          <w:rFonts w:ascii="Tenorite" w:hAnsi="Tenorite"/>
          <w:sz w:val="20"/>
          <w:szCs w:val="20"/>
        </w:rPr>
      </w:pPr>
      <w:hyperlink r:id="rId25" w:history="1">
        <w:proofErr w:type="spellStart"/>
        <w:r w:rsidRPr="006417DA">
          <w:rPr>
            <w:rStyle w:val="Lienhypertexte"/>
            <w:rFonts w:ascii="Tenorite" w:hAnsi="Tenorite"/>
            <w:sz w:val="20"/>
            <w:szCs w:val="20"/>
          </w:rPr>
          <w:t>BuSCA</w:t>
        </w:r>
        <w:proofErr w:type="spellEnd"/>
        <w:r w:rsidRPr="006417DA">
          <w:rPr>
            <w:rStyle w:val="Lienhypertexte"/>
            <w:rFonts w:ascii="Tenorite" w:hAnsi="Tenorite"/>
            <w:sz w:val="20"/>
            <w:szCs w:val="20"/>
          </w:rPr>
          <w:t xml:space="preserve"> n°129</w:t>
        </w:r>
      </w:hyperlink>
      <w:r w:rsidRPr="006417DA">
        <w:rPr>
          <w:rFonts w:ascii="Tenorite" w:hAnsi="Tenorite"/>
          <w:sz w:val="20"/>
          <w:szCs w:val="20"/>
        </w:rPr>
        <w:t>– 20 mars 2025, Plateforme de surveillance de la chaîne alimentaire</w:t>
      </w:r>
    </w:p>
    <w:p w14:paraId="733FA67B" w14:textId="77777777" w:rsidR="001767C2" w:rsidRPr="006417DA" w:rsidRDefault="001767C2" w:rsidP="006417DA">
      <w:pPr>
        <w:spacing w:after="0" w:line="240" w:lineRule="auto"/>
        <w:ind w:left="142"/>
        <w:rPr>
          <w:rFonts w:ascii="Tenorite" w:hAnsi="Tenorite"/>
          <w:color w:val="C45911" w:themeColor="accent2" w:themeShade="BF"/>
          <w:sz w:val="20"/>
        </w:rPr>
      </w:pPr>
    </w:p>
    <w:p w14:paraId="6B945F17" w14:textId="411C3C3C" w:rsidR="00767DBA" w:rsidRPr="006417DA" w:rsidRDefault="00767DBA"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Contrôles officiels</w:t>
      </w:r>
    </w:p>
    <w:p w14:paraId="2B4CB32B" w14:textId="77777777" w:rsidR="001767C2" w:rsidRDefault="001767C2" w:rsidP="006417DA">
      <w:pPr>
        <w:adjustRightInd w:val="0"/>
        <w:spacing w:after="0" w:line="240" w:lineRule="auto"/>
        <w:ind w:left="142"/>
        <w:jc w:val="both"/>
        <w:rPr>
          <w:rFonts w:ascii="Tenorite" w:hAnsi="Tenorite"/>
          <w:sz w:val="20"/>
          <w:szCs w:val="20"/>
        </w:rPr>
      </w:pPr>
      <w:r w:rsidRPr="006417DA">
        <w:rPr>
          <w:rFonts w:ascii="Tenorite" w:hAnsi="Tenorite"/>
          <w:b/>
          <w:bCs/>
          <w:sz w:val="20"/>
          <w:szCs w:val="20"/>
        </w:rPr>
        <w:t>Note de service </w:t>
      </w:r>
      <w:bookmarkStart w:id="1" w:name="_Hlk194791087"/>
      <w:r w:rsidRPr="006417DA">
        <w:rPr>
          <w:rFonts w:ascii="Tenorite" w:hAnsi="Tenorite"/>
          <w:sz w:val="20"/>
          <w:szCs w:val="20"/>
        </w:rPr>
        <w:fldChar w:fldCharType="begin"/>
      </w:r>
      <w:r w:rsidRPr="006417DA">
        <w:rPr>
          <w:rFonts w:ascii="Tenorite" w:hAnsi="Tenorite"/>
          <w:sz w:val="20"/>
          <w:szCs w:val="20"/>
        </w:rPr>
        <w:instrText>HYPERLINK "https://info.agriculture.gouv.fr/boagri/instruction-2025-141"</w:instrText>
      </w:r>
      <w:r w:rsidRPr="006417DA">
        <w:rPr>
          <w:rFonts w:ascii="Tenorite" w:hAnsi="Tenorite"/>
          <w:sz w:val="20"/>
          <w:szCs w:val="20"/>
        </w:rPr>
      </w:r>
      <w:r w:rsidRPr="006417DA">
        <w:rPr>
          <w:rFonts w:ascii="Tenorite" w:hAnsi="Tenorite"/>
          <w:sz w:val="20"/>
          <w:szCs w:val="20"/>
        </w:rPr>
        <w:fldChar w:fldCharType="separate"/>
      </w:r>
      <w:r w:rsidRPr="006417DA">
        <w:rPr>
          <w:rStyle w:val="Lienhypertexte"/>
          <w:rFonts w:ascii="Tenorite" w:hAnsi="Tenorite"/>
          <w:sz w:val="20"/>
          <w:szCs w:val="20"/>
        </w:rPr>
        <w:t>DGAL/SDPRS/2025-141</w:t>
      </w:r>
      <w:r w:rsidRPr="006417DA">
        <w:rPr>
          <w:rFonts w:ascii="Tenorite" w:hAnsi="Tenorite"/>
          <w:sz w:val="20"/>
          <w:szCs w:val="20"/>
        </w:rPr>
        <w:fldChar w:fldCharType="end"/>
      </w:r>
      <w:bookmarkEnd w:id="1"/>
      <w:r w:rsidRPr="006417DA">
        <w:rPr>
          <w:rFonts w:ascii="Tenorite" w:hAnsi="Tenorite"/>
          <w:sz w:val="20"/>
          <w:szCs w:val="20"/>
        </w:rPr>
        <w:t xml:space="preserve"> du 07-03-2025 - Ouverture de l’application </w:t>
      </w:r>
      <w:proofErr w:type="spellStart"/>
      <w:r w:rsidRPr="006417DA">
        <w:rPr>
          <w:rFonts w:ascii="Tenorite" w:hAnsi="Tenorite"/>
          <w:sz w:val="20"/>
          <w:szCs w:val="20"/>
        </w:rPr>
        <w:t>Prelev’Info</w:t>
      </w:r>
      <w:proofErr w:type="spellEnd"/>
      <w:r w:rsidRPr="006417DA">
        <w:rPr>
          <w:rFonts w:ascii="Tenorite" w:hAnsi="Tenorite"/>
          <w:sz w:val="20"/>
          <w:szCs w:val="20"/>
        </w:rPr>
        <w:t xml:space="preserve"> pour le dispositif de Plan de surveillance/Plan de contrôle géré dans SIGAL (DGAL)</w:t>
      </w:r>
    </w:p>
    <w:p w14:paraId="79EC0404" w14:textId="77777777" w:rsidR="006417DA" w:rsidRPr="006417DA" w:rsidRDefault="006417DA" w:rsidP="006417DA">
      <w:pPr>
        <w:adjustRightInd w:val="0"/>
        <w:spacing w:after="0" w:line="240" w:lineRule="auto"/>
        <w:ind w:left="142"/>
        <w:jc w:val="both"/>
        <w:rPr>
          <w:rFonts w:ascii="Tenorite" w:hAnsi="Tenorite"/>
          <w:sz w:val="20"/>
          <w:szCs w:val="20"/>
        </w:rPr>
      </w:pPr>
    </w:p>
    <w:p w14:paraId="34C56C70" w14:textId="77777777" w:rsidR="006417DA" w:rsidRPr="006417DA" w:rsidRDefault="006417DA" w:rsidP="006417DA">
      <w:pPr>
        <w:shd w:val="clear" w:color="auto" w:fill="FFFFFF"/>
        <w:spacing w:after="0" w:line="240" w:lineRule="auto"/>
        <w:ind w:left="142"/>
        <w:jc w:val="both"/>
        <w:rPr>
          <w:rFonts w:ascii="Tenorite" w:hAnsi="Tenorite"/>
          <w:sz w:val="20"/>
          <w:szCs w:val="20"/>
        </w:rPr>
      </w:pPr>
      <w:r w:rsidRPr="006417DA">
        <w:rPr>
          <w:rFonts w:ascii="Tenorite" w:eastAsia="Times New Roman" w:hAnsi="Tenorite" w:cs="Times New Roman"/>
          <w:b/>
          <w:bCs/>
          <w:color w:val="636363"/>
          <w:sz w:val="20"/>
          <w:szCs w:val="20"/>
          <w:lang w:eastAsia="fr-FR"/>
        </w:rPr>
        <w:t>Instruction technique </w:t>
      </w:r>
      <w:bookmarkStart w:id="2" w:name="_Hlk194792418"/>
      <w:r w:rsidRPr="006417DA">
        <w:rPr>
          <w:rFonts w:ascii="Tenorite" w:eastAsia="Times New Roman" w:hAnsi="Tenorite" w:cs="Times New Roman"/>
          <w:color w:val="636363"/>
          <w:sz w:val="20"/>
          <w:szCs w:val="20"/>
          <w:lang w:eastAsia="fr-FR"/>
        </w:rPr>
        <w:fldChar w:fldCharType="begin"/>
      </w:r>
      <w:r w:rsidRPr="006417DA">
        <w:rPr>
          <w:rFonts w:ascii="Tenorite" w:eastAsia="Times New Roman" w:hAnsi="Tenorite" w:cs="Times New Roman"/>
          <w:color w:val="636363"/>
          <w:sz w:val="20"/>
          <w:szCs w:val="20"/>
          <w:lang w:eastAsia="fr-FR"/>
        </w:rPr>
        <w:instrText>HYPERLINK "https://info.agriculture.gouv.fr/boagri/instruction-2025-165"</w:instrText>
      </w:r>
      <w:r w:rsidRPr="006417DA">
        <w:rPr>
          <w:rFonts w:ascii="Tenorite" w:eastAsia="Times New Roman" w:hAnsi="Tenorite" w:cs="Times New Roman"/>
          <w:color w:val="636363"/>
          <w:sz w:val="20"/>
          <w:szCs w:val="20"/>
          <w:lang w:eastAsia="fr-FR"/>
        </w:rPr>
      </w:r>
      <w:r w:rsidRPr="006417DA">
        <w:rPr>
          <w:rFonts w:ascii="Tenorite" w:eastAsia="Times New Roman" w:hAnsi="Tenorite" w:cs="Times New Roman"/>
          <w:color w:val="636363"/>
          <w:sz w:val="20"/>
          <w:szCs w:val="20"/>
          <w:lang w:eastAsia="fr-FR"/>
        </w:rPr>
        <w:fldChar w:fldCharType="separate"/>
      </w:r>
      <w:r w:rsidRPr="006417DA">
        <w:rPr>
          <w:rStyle w:val="Lienhypertexte"/>
          <w:rFonts w:ascii="Tenorite" w:eastAsia="Times New Roman" w:hAnsi="Tenorite" w:cs="Times New Roman"/>
          <w:sz w:val="20"/>
          <w:szCs w:val="20"/>
          <w:lang w:eastAsia="fr-FR"/>
        </w:rPr>
        <w:t>DGAL/SAS/2025-165</w:t>
      </w:r>
      <w:r w:rsidRPr="006417DA">
        <w:rPr>
          <w:rFonts w:ascii="Tenorite" w:eastAsia="Times New Roman" w:hAnsi="Tenorite" w:cs="Times New Roman"/>
          <w:color w:val="636363"/>
          <w:sz w:val="20"/>
          <w:szCs w:val="20"/>
          <w:lang w:eastAsia="fr-FR"/>
        </w:rPr>
        <w:fldChar w:fldCharType="end"/>
      </w:r>
      <w:bookmarkEnd w:id="2"/>
      <w:r w:rsidRPr="006417DA">
        <w:rPr>
          <w:rFonts w:ascii="Tenorite" w:eastAsia="Times New Roman" w:hAnsi="Tenorite" w:cs="Times New Roman"/>
          <w:color w:val="636363"/>
          <w:sz w:val="20"/>
          <w:szCs w:val="20"/>
          <w:lang w:eastAsia="fr-FR"/>
        </w:rPr>
        <w:t> du 18-03-2025 </w:t>
      </w:r>
      <w:r w:rsidRPr="006417DA">
        <w:rPr>
          <w:rFonts w:ascii="Tenorite" w:eastAsia="Times New Roman" w:hAnsi="Tenorite" w:cs="Times New Roman"/>
          <w:b/>
          <w:bCs/>
          <w:color w:val="636363"/>
          <w:sz w:val="20"/>
          <w:szCs w:val="20"/>
          <w:lang w:eastAsia="fr-FR"/>
        </w:rPr>
        <w:t xml:space="preserve">- </w:t>
      </w:r>
      <w:r w:rsidRPr="006417DA">
        <w:rPr>
          <w:rFonts w:ascii="Tenorite" w:eastAsia="Times New Roman" w:hAnsi="Tenorite" w:cs="Times New Roman"/>
          <w:color w:val="636363"/>
          <w:sz w:val="20"/>
          <w:szCs w:val="20"/>
          <w:lang w:eastAsia="fr-FR"/>
        </w:rPr>
        <w:t>Publication des modèles de conventions d’exécution technique et financière annuelles à utiliser dans le cadre des délégations de contrôles officiels et autres activités officielles, pour la période 2025-2029, dans les domaines de la santé animale et de la santé des végétaux. Pour le domaine de la santé animale, publication des modèles de conventions tri et quadripartites formalisant les relations entre les différents partenaires du sanitaire impliqués dans l’exécution des missions déléguées, pouvant être joints en annexe de la convention d’exécution technique et financière annuelle. (DGAL)</w:t>
      </w:r>
    </w:p>
    <w:p w14:paraId="336B41BB" w14:textId="77777777" w:rsidR="006417DA" w:rsidRPr="006417DA" w:rsidRDefault="006417DA" w:rsidP="006417DA">
      <w:pPr>
        <w:adjustRightInd w:val="0"/>
        <w:spacing w:after="0" w:line="240" w:lineRule="auto"/>
        <w:ind w:left="142"/>
        <w:rPr>
          <w:rFonts w:ascii="Tenorite" w:hAnsi="Tenorite"/>
        </w:rPr>
      </w:pPr>
    </w:p>
    <w:p w14:paraId="195FB1E0" w14:textId="2775C1B1" w:rsidR="001B42BB" w:rsidRPr="006417DA" w:rsidRDefault="002B7CB6"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Dangers biologiques /microbiologiques</w:t>
      </w:r>
    </w:p>
    <w:bookmarkStart w:id="3" w:name="_Hlk195280224"/>
    <w:p w14:paraId="4C2EFA06" w14:textId="77777777" w:rsidR="001767C2" w:rsidRPr="006417DA" w:rsidRDefault="001767C2" w:rsidP="006417DA">
      <w:pPr>
        <w:shd w:val="clear" w:color="auto" w:fill="FFFFFF"/>
        <w:spacing w:after="0" w:line="240" w:lineRule="auto"/>
        <w:ind w:left="142"/>
        <w:jc w:val="both"/>
        <w:outlineLvl w:val="2"/>
        <w:rPr>
          <w:rFonts w:ascii="Tenorite" w:hAnsi="Tenorite"/>
          <w:sz w:val="20"/>
          <w:szCs w:val="20"/>
        </w:rPr>
      </w:pPr>
      <w:r w:rsidRPr="006417DA">
        <w:rPr>
          <w:rFonts w:ascii="Tenorite" w:hAnsi="Tenorite"/>
          <w:sz w:val="20"/>
          <w:szCs w:val="20"/>
        </w:rPr>
        <w:fldChar w:fldCharType="begin"/>
      </w:r>
      <w:r w:rsidRPr="006417DA">
        <w:rPr>
          <w:rFonts w:ascii="Tenorite" w:hAnsi="Tenorite"/>
          <w:sz w:val="20"/>
          <w:szCs w:val="20"/>
        </w:rPr>
        <w:instrText>HYPERLINK "https://www.anses.fr/sites/default/files/VSR2022SA0221RA.pdf"</w:instrText>
      </w:r>
      <w:r w:rsidRPr="006417DA">
        <w:rPr>
          <w:rFonts w:ascii="Tenorite" w:hAnsi="Tenorite"/>
          <w:sz w:val="20"/>
          <w:szCs w:val="20"/>
        </w:rPr>
      </w:r>
      <w:r w:rsidRPr="006417DA">
        <w:rPr>
          <w:rFonts w:ascii="Tenorite" w:hAnsi="Tenorite"/>
          <w:sz w:val="20"/>
          <w:szCs w:val="20"/>
        </w:rPr>
        <w:fldChar w:fldCharType="separate"/>
      </w:r>
      <w:r w:rsidRPr="006417DA">
        <w:rPr>
          <w:rStyle w:val="Lienhypertexte"/>
          <w:rFonts w:ascii="Tenorite" w:hAnsi="Tenorite"/>
          <w:sz w:val="20"/>
          <w:szCs w:val="20"/>
        </w:rPr>
        <w:t>Avis</w:t>
      </w:r>
      <w:r w:rsidRPr="006417DA">
        <w:rPr>
          <w:rFonts w:ascii="Tenorite" w:hAnsi="Tenorite"/>
          <w:sz w:val="20"/>
          <w:szCs w:val="20"/>
        </w:rPr>
        <w:fldChar w:fldCharType="end"/>
      </w:r>
      <w:r w:rsidRPr="006417DA">
        <w:rPr>
          <w:rFonts w:ascii="Tenorite" w:hAnsi="Tenorite"/>
          <w:sz w:val="20"/>
          <w:szCs w:val="20"/>
        </w:rPr>
        <w:t xml:space="preserve"> et </w:t>
      </w:r>
      <w:proofErr w:type="gramStart"/>
      <w:r w:rsidRPr="006417DA">
        <w:rPr>
          <w:rFonts w:ascii="Tenorite" w:hAnsi="Tenorite"/>
          <w:sz w:val="20"/>
          <w:szCs w:val="20"/>
        </w:rPr>
        <w:t>rapport relatifs</w:t>
      </w:r>
      <w:proofErr w:type="gramEnd"/>
      <w:r w:rsidRPr="006417DA">
        <w:rPr>
          <w:rFonts w:ascii="Tenorite" w:hAnsi="Tenorite"/>
          <w:sz w:val="20"/>
          <w:szCs w:val="20"/>
        </w:rPr>
        <w:t xml:space="preserve"> à l’élaboration de VTR long terme par voie orale pour les isoflavones</w:t>
      </w:r>
      <w:bookmarkEnd w:id="3"/>
      <w:r w:rsidRPr="006417DA">
        <w:rPr>
          <w:rFonts w:ascii="Tenorite" w:hAnsi="Tenorite"/>
          <w:sz w:val="20"/>
          <w:szCs w:val="20"/>
        </w:rPr>
        <w:t xml:space="preserve"> – avis signé le 08/01/2025</w:t>
      </w:r>
    </w:p>
    <w:p w14:paraId="413A8CA0" w14:textId="77777777" w:rsidR="001767C2" w:rsidRPr="006417DA" w:rsidRDefault="001767C2" w:rsidP="006417DA">
      <w:pPr>
        <w:shd w:val="clear" w:color="auto" w:fill="FFFFFF"/>
        <w:spacing w:after="0" w:line="240" w:lineRule="auto"/>
        <w:ind w:left="142"/>
        <w:jc w:val="both"/>
        <w:outlineLvl w:val="2"/>
        <w:rPr>
          <w:rFonts w:ascii="Tenorite" w:hAnsi="Tenorite"/>
          <w:sz w:val="20"/>
          <w:szCs w:val="20"/>
        </w:rPr>
      </w:pPr>
    </w:p>
    <w:p w14:paraId="7E31A4CC" w14:textId="77777777" w:rsidR="001767C2" w:rsidRPr="006417DA" w:rsidRDefault="001767C2" w:rsidP="006417DA">
      <w:pPr>
        <w:shd w:val="clear" w:color="auto" w:fill="FFFFFF"/>
        <w:spacing w:after="0" w:line="240" w:lineRule="auto"/>
        <w:ind w:left="142"/>
        <w:jc w:val="both"/>
        <w:outlineLvl w:val="2"/>
        <w:rPr>
          <w:rFonts w:ascii="Tenorite" w:hAnsi="Tenorite"/>
          <w:sz w:val="20"/>
          <w:szCs w:val="20"/>
        </w:rPr>
      </w:pPr>
      <w:hyperlink r:id="rId26" w:history="1">
        <w:r w:rsidRPr="006417DA">
          <w:rPr>
            <w:rStyle w:val="Lienhypertexte"/>
            <w:rFonts w:ascii="Tenorite" w:hAnsi="Tenorite"/>
            <w:sz w:val="20"/>
            <w:szCs w:val="20"/>
          </w:rPr>
          <w:t>Avis</w:t>
        </w:r>
      </w:hyperlink>
      <w:r w:rsidRPr="006417DA">
        <w:rPr>
          <w:rFonts w:ascii="Tenorite" w:hAnsi="Tenorite"/>
          <w:sz w:val="20"/>
          <w:szCs w:val="20"/>
        </w:rPr>
        <w:t xml:space="preserve"> relatif à une demande d’évaluation du risque sanitaire de la consommation d'aliments contenant des isoflavones – avis signé le 08/01/2025</w:t>
      </w:r>
    </w:p>
    <w:p w14:paraId="365EBBD8" w14:textId="77777777" w:rsidR="001767C2" w:rsidRPr="006417DA" w:rsidRDefault="001767C2" w:rsidP="006417DA">
      <w:pPr>
        <w:spacing w:after="0" w:line="240" w:lineRule="auto"/>
        <w:ind w:left="142"/>
        <w:rPr>
          <w:rFonts w:ascii="Tenorite" w:hAnsi="Tenorite"/>
          <w:color w:val="C45911" w:themeColor="accent2" w:themeShade="BF"/>
          <w:sz w:val="20"/>
        </w:rPr>
      </w:pPr>
    </w:p>
    <w:p w14:paraId="6FBE7995" w14:textId="34C8324A" w:rsidR="00767DBA" w:rsidRDefault="00767DBA"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Entreposage</w:t>
      </w:r>
      <w:r w:rsidR="009E6EA2">
        <w:rPr>
          <w:rFonts w:ascii="Tenorite" w:hAnsi="Tenorite"/>
          <w:color w:val="C45911" w:themeColor="accent2" w:themeShade="BF"/>
          <w:sz w:val="20"/>
        </w:rPr>
        <w:t xml:space="preserve"> /</w:t>
      </w:r>
    </w:p>
    <w:p w14:paraId="0866ACFE" w14:textId="77777777" w:rsidR="009E6EA2" w:rsidRPr="006417DA" w:rsidRDefault="009E6EA2" w:rsidP="006417DA">
      <w:pPr>
        <w:spacing w:after="0" w:line="240" w:lineRule="auto"/>
        <w:ind w:left="142"/>
        <w:rPr>
          <w:rFonts w:ascii="Tenorite" w:hAnsi="Tenorite"/>
          <w:color w:val="C45911" w:themeColor="accent2" w:themeShade="BF"/>
          <w:sz w:val="20"/>
        </w:rPr>
      </w:pPr>
    </w:p>
    <w:p w14:paraId="7D1944E0" w14:textId="2C4BB729" w:rsidR="001B42BB" w:rsidRPr="006417DA" w:rsidRDefault="002B7CB6"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Fraudes (non exhaustif)</w:t>
      </w:r>
    </w:p>
    <w:p w14:paraId="0A7FB43E" w14:textId="77777777" w:rsidR="001767C2" w:rsidRPr="006417DA" w:rsidRDefault="001767C2" w:rsidP="006417DA">
      <w:pPr>
        <w:spacing w:after="0" w:line="240" w:lineRule="auto"/>
        <w:ind w:left="142"/>
        <w:jc w:val="both"/>
        <w:rPr>
          <w:rFonts w:ascii="Tenorite" w:hAnsi="Tenorite"/>
          <w:sz w:val="20"/>
          <w:szCs w:val="20"/>
        </w:rPr>
      </w:pPr>
      <w:r w:rsidRPr="006417DA">
        <w:rPr>
          <w:rFonts w:ascii="Tenorite" w:hAnsi="Tenorite"/>
          <w:sz w:val="20"/>
          <w:szCs w:val="20"/>
        </w:rPr>
        <w:t xml:space="preserve">Newsletter </w:t>
      </w:r>
      <w:hyperlink r:id="rId27" w:history="1">
        <w:proofErr w:type="gramStart"/>
        <w:r w:rsidRPr="006417DA">
          <w:rPr>
            <w:rStyle w:val="Lienhypertexte"/>
            <w:rFonts w:ascii="Tenorite" w:hAnsi="Tenorite"/>
            <w:sz w:val="20"/>
            <w:szCs w:val="20"/>
          </w:rPr>
          <w:t>Février</w:t>
        </w:r>
        <w:proofErr w:type="gramEnd"/>
        <w:r w:rsidRPr="006417DA">
          <w:rPr>
            <w:rStyle w:val="Lienhypertexte"/>
            <w:rFonts w:ascii="Tenorite" w:hAnsi="Tenorite"/>
            <w:sz w:val="20"/>
            <w:szCs w:val="20"/>
          </w:rPr>
          <w:t xml:space="preserve"> 2025</w:t>
        </w:r>
      </w:hyperlink>
      <w:r w:rsidRPr="006417DA">
        <w:rPr>
          <w:rFonts w:ascii="Tenorite" w:hAnsi="Tenorite"/>
          <w:sz w:val="20"/>
          <w:szCs w:val="20"/>
        </w:rPr>
        <w:t>, Fraudes alimentaires, Commission européenne</w:t>
      </w:r>
    </w:p>
    <w:p w14:paraId="086D8599" w14:textId="77777777" w:rsidR="001767C2" w:rsidRPr="006417DA" w:rsidRDefault="001767C2" w:rsidP="006417DA">
      <w:pPr>
        <w:spacing w:after="0" w:line="240" w:lineRule="auto"/>
        <w:ind w:left="142"/>
        <w:rPr>
          <w:rFonts w:ascii="Tenorite" w:hAnsi="Tenorite"/>
        </w:rPr>
      </w:pPr>
    </w:p>
    <w:p w14:paraId="4D744FC4" w14:textId="3EE07D87" w:rsidR="001B42BB" w:rsidRPr="006417DA" w:rsidRDefault="002B7CB6"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Hygiène et GBPH</w:t>
      </w:r>
      <w:r w:rsidR="009E6EA2">
        <w:rPr>
          <w:rFonts w:ascii="Tenorite" w:hAnsi="Tenorite"/>
          <w:color w:val="C45911" w:themeColor="accent2" w:themeShade="BF"/>
          <w:sz w:val="20"/>
        </w:rPr>
        <w:t xml:space="preserve"> /</w:t>
      </w:r>
    </w:p>
    <w:p w14:paraId="0224FEEE" w14:textId="3A37F57C" w:rsidR="002B7CB6" w:rsidRPr="006417DA" w:rsidRDefault="002B7CB6"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Transport</w:t>
      </w:r>
      <w:r w:rsidR="009E6EA2">
        <w:rPr>
          <w:rFonts w:ascii="Tenorite" w:hAnsi="Tenorite"/>
          <w:color w:val="C45911" w:themeColor="accent2" w:themeShade="BF"/>
          <w:sz w:val="20"/>
        </w:rPr>
        <w:t xml:space="preserve"> /</w:t>
      </w:r>
      <w:r w:rsidRPr="006417DA">
        <w:rPr>
          <w:rFonts w:ascii="Tenorite" w:hAnsi="Tenorite"/>
          <w:color w:val="C45911" w:themeColor="accent2" w:themeShade="BF"/>
          <w:sz w:val="20"/>
        </w:rPr>
        <w:tab/>
      </w:r>
    </w:p>
    <w:p w14:paraId="60549313" w14:textId="77777777" w:rsidR="001B42BB" w:rsidRPr="006417DA" w:rsidRDefault="001B42BB" w:rsidP="006417DA">
      <w:pPr>
        <w:spacing w:after="0" w:line="240" w:lineRule="auto"/>
        <w:ind w:left="142"/>
        <w:rPr>
          <w:rFonts w:ascii="Tenorite" w:hAnsi="Tenorite"/>
          <w:color w:val="C45911" w:themeColor="accent2" w:themeShade="BF"/>
          <w:sz w:val="20"/>
        </w:rPr>
      </w:pPr>
    </w:p>
    <w:p w14:paraId="5417E9F6" w14:textId="6E2A768A" w:rsidR="002B7CB6" w:rsidRPr="006417DA" w:rsidRDefault="002B7CB6" w:rsidP="006417DA">
      <w:pPr>
        <w:shd w:val="clear" w:color="auto" w:fill="D9D9D9" w:themeFill="background1" w:themeFillShade="D9"/>
        <w:spacing w:after="0" w:line="240" w:lineRule="auto"/>
        <w:ind w:left="142"/>
        <w:rPr>
          <w:rFonts w:ascii="Tenorite" w:hAnsi="Tenorite"/>
          <w:b/>
          <w:color w:val="833C0B" w:themeColor="accent2" w:themeShade="80"/>
          <w:sz w:val="24"/>
        </w:rPr>
      </w:pPr>
      <w:r w:rsidRPr="006417DA">
        <w:rPr>
          <w:rFonts w:ascii="Tenorite" w:hAnsi="Tenorite"/>
          <w:b/>
          <w:color w:val="833C0B" w:themeColor="accent2" w:themeShade="80"/>
          <w:sz w:val="24"/>
        </w:rPr>
        <w:t>MARCHES (importation, modalités de commercialisation</w:t>
      </w:r>
      <w:r w:rsidR="00767DBA" w:rsidRPr="006417DA">
        <w:rPr>
          <w:rFonts w:ascii="Tenorite" w:hAnsi="Tenorite"/>
          <w:b/>
          <w:color w:val="833C0B" w:themeColor="accent2" w:themeShade="80"/>
          <w:sz w:val="24"/>
        </w:rPr>
        <w:t>, exportation</w:t>
      </w:r>
      <w:r w:rsidRPr="006417DA">
        <w:rPr>
          <w:rFonts w:ascii="Tenorite" w:hAnsi="Tenorite"/>
          <w:b/>
          <w:color w:val="833C0B" w:themeColor="accent2" w:themeShade="80"/>
          <w:sz w:val="24"/>
        </w:rPr>
        <w:t>)</w:t>
      </w:r>
    </w:p>
    <w:p w14:paraId="440D7C32" w14:textId="6FCCB3FF" w:rsidR="00767DBA" w:rsidRPr="006417DA" w:rsidRDefault="00767DBA"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Exportation</w:t>
      </w:r>
      <w:r w:rsidR="009E6EA2">
        <w:rPr>
          <w:rFonts w:ascii="Tenorite" w:hAnsi="Tenorite"/>
          <w:color w:val="C45911" w:themeColor="accent2" w:themeShade="BF"/>
          <w:sz w:val="20"/>
        </w:rPr>
        <w:t xml:space="preserve"> /</w:t>
      </w:r>
    </w:p>
    <w:p w14:paraId="5ABC6969" w14:textId="577130E5" w:rsidR="00767DBA" w:rsidRDefault="00767DBA"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Importation</w:t>
      </w:r>
      <w:r w:rsidR="009E6EA2">
        <w:rPr>
          <w:rFonts w:ascii="Tenorite" w:hAnsi="Tenorite"/>
          <w:color w:val="C45911" w:themeColor="accent2" w:themeShade="BF"/>
          <w:sz w:val="20"/>
        </w:rPr>
        <w:t xml:space="preserve"> /</w:t>
      </w:r>
    </w:p>
    <w:p w14:paraId="079BA8A5" w14:textId="77777777" w:rsidR="009E6EA2" w:rsidRPr="006417DA" w:rsidRDefault="009E6EA2" w:rsidP="006417DA">
      <w:pPr>
        <w:spacing w:after="0" w:line="240" w:lineRule="auto"/>
        <w:ind w:left="142"/>
        <w:rPr>
          <w:rFonts w:ascii="Tenorite" w:hAnsi="Tenorite"/>
          <w:color w:val="C45911" w:themeColor="accent2" w:themeShade="BF"/>
          <w:sz w:val="20"/>
        </w:rPr>
      </w:pPr>
    </w:p>
    <w:p w14:paraId="63DF5A7E" w14:textId="495779E1" w:rsidR="002B7CB6" w:rsidRPr="006417DA" w:rsidRDefault="002B7CB6" w:rsidP="006417DA">
      <w:pPr>
        <w:shd w:val="clear" w:color="auto" w:fill="D9D9D9" w:themeFill="background1" w:themeFillShade="D9"/>
        <w:spacing w:after="0" w:line="240" w:lineRule="auto"/>
        <w:ind w:left="142"/>
        <w:rPr>
          <w:rFonts w:ascii="Tenorite" w:hAnsi="Tenorite"/>
          <w:b/>
          <w:color w:val="833C0B" w:themeColor="accent2" w:themeShade="80"/>
          <w:sz w:val="24"/>
        </w:rPr>
      </w:pPr>
      <w:r w:rsidRPr="006417DA">
        <w:rPr>
          <w:rFonts w:ascii="Tenorite" w:hAnsi="Tenorite"/>
          <w:b/>
          <w:color w:val="833C0B" w:themeColor="accent2" w:themeShade="80"/>
          <w:sz w:val="24"/>
        </w:rPr>
        <w:t xml:space="preserve">MATERIAUX </w:t>
      </w:r>
      <w:r w:rsidR="00767DBA" w:rsidRPr="006417DA">
        <w:rPr>
          <w:rFonts w:ascii="Tenorite" w:hAnsi="Tenorite"/>
          <w:b/>
          <w:color w:val="833C0B" w:themeColor="accent2" w:themeShade="80"/>
          <w:sz w:val="24"/>
        </w:rPr>
        <w:t xml:space="preserve">ET OBJETS </w:t>
      </w:r>
      <w:r w:rsidRPr="006417DA">
        <w:rPr>
          <w:rFonts w:ascii="Tenorite" w:hAnsi="Tenorite"/>
          <w:b/>
          <w:color w:val="833C0B" w:themeColor="accent2" w:themeShade="80"/>
          <w:sz w:val="24"/>
        </w:rPr>
        <w:t>AU CONTACT</w:t>
      </w:r>
    </w:p>
    <w:p w14:paraId="0A9F6E37" w14:textId="79A181DA" w:rsidR="002B7CB6" w:rsidRPr="006417DA" w:rsidRDefault="009E6EA2" w:rsidP="006417DA">
      <w:pPr>
        <w:spacing w:after="0" w:line="240" w:lineRule="auto"/>
        <w:ind w:left="142"/>
        <w:rPr>
          <w:rFonts w:ascii="Tenorite" w:hAnsi="Tenorite"/>
          <w:b/>
        </w:rPr>
      </w:pPr>
      <w:r>
        <w:rPr>
          <w:rFonts w:ascii="Tenorite" w:hAnsi="Tenorite"/>
          <w:b/>
        </w:rPr>
        <w:t>/</w:t>
      </w:r>
    </w:p>
    <w:p w14:paraId="6A58FF82" w14:textId="03C8B2D3" w:rsidR="00767DBA" w:rsidRPr="006417DA" w:rsidRDefault="00767DBA" w:rsidP="006417DA">
      <w:pPr>
        <w:shd w:val="clear" w:color="auto" w:fill="D9D9D9" w:themeFill="background1" w:themeFillShade="D9"/>
        <w:spacing w:after="0" w:line="240" w:lineRule="auto"/>
        <w:ind w:left="142"/>
        <w:rPr>
          <w:rFonts w:ascii="Tenorite" w:hAnsi="Tenorite"/>
          <w:b/>
          <w:color w:val="833C0B" w:themeColor="accent2" w:themeShade="80"/>
          <w:sz w:val="24"/>
        </w:rPr>
      </w:pPr>
      <w:r w:rsidRPr="006417DA">
        <w:rPr>
          <w:rFonts w:ascii="Tenorite" w:hAnsi="Tenorite"/>
          <w:b/>
          <w:color w:val="833C0B" w:themeColor="accent2" w:themeShade="80"/>
          <w:sz w:val="24"/>
        </w:rPr>
        <w:t>CONDITIONNEMENT - EMBALLAGE</w:t>
      </w:r>
    </w:p>
    <w:p w14:paraId="1FAA7BB8" w14:textId="43FF8613" w:rsidR="00767DBA" w:rsidRPr="006417DA" w:rsidRDefault="009E6EA2" w:rsidP="006417DA">
      <w:pPr>
        <w:spacing w:after="0" w:line="240" w:lineRule="auto"/>
        <w:ind w:left="142"/>
        <w:rPr>
          <w:rFonts w:ascii="Tenorite" w:hAnsi="Tenorite"/>
          <w:b/>
        </w:rPr>
      </w:pPr>
      <w:r>
        <w:rPr>
          <w:rFonts w:ascii="Tenorite" w:hAnsi="Tenorite"/>
          <w:b/>
        </w:rPr>
        <w:t>/</w:t>
      </w:r>
    </w:p>
    <w:p w14:paraId="2153F0AD" w14:textId="77777777" w:rsidR="002B7CB6" w:rsidRPr="006417DA" w:rsidRDefault="002B7CB6" w:rsidP="006417DA">
      <w:pPr>
        <w:shd w:val="clear" w:color="auto" w:fill="D9D9D9" w:themeFill="background1" w:themeFillShade="D9"/>
        <w:spacing w:after="0" w:line="240" w:lineRule="auto"/>
        <w:ind w:left="142"/>
        <w:rPr>
          <w:rFonts w:ascii="Tenorite" w:hAnsi="Tenorite"/>
          <w:b/>
          <w:color w:val="833C0B" w:themeColor="accent2" w:themeShade="80"/>
          <w:sz w:val="24"/>
        </w:rPr>
      </w:pPr>
      <w:r w:rsidRPr="006417DA">
        <w:rPr>
          <w:rFonts w:ascii="Tenorite" w:hAnsi="Tenorite"/>
          <w:b/>
          <w:color w:val="833C0B" w:themeColor="accent2" w:themeShade="80"/>
          <w:sz w:val="24"/>
        </w:rPr>
        <w:t>METROLOGIE</w:t>
      </w:r>
    </w:p>
    <w:p w14:paraId="2C44D545" w14:textId="3CC766BC" w:rsidR="001B42BB" w:rsidRPr="006417DA" w:rsidRDefault="009E6EA2" w:rsidP="006417DA">
      <w:pPr>
        <w:spacing w:after="0" w:line="240" w:lineRule="auto"/>
        <w:ind w:left="142"/>
        <w:rPr>
          <w:rFonts w:ascii="Tenorite" w:hAnsi="Tenorite"/>
          <w:b/>
        </w:rPr>
      </w:pPr>
      <w:r>
        <w:rPr>
          <w:rFonts w:ascii="Tenorite" w:hAnsi="Tenorite"/>
          <w:b/>
        </w:rPr>
        <w:t>/</w:t>
      </w:r>
    </w:p>
    <w:p w14:paraId="254D792C" w14:textId="45699711" w:rsidR="00767DBA" w:rsidRPr="006417DA" w:rsidRDefault="00767DBA" w:rsidP="006417DA">
      <w:pPr>
        <w:shd w:val="clear" w:color="auto" w:fill="D9D9D9" w:themeFill="background1" w:themeFillShade="D9"/>
        <w:spacing w:after="0" w:line="240" w:lineRule="auto"/>
        <w:ind w:left="142"/>
        <w:rPr>
          <w:rFonts w:ascii="Tenorite" w:hAnsi="Tenorite"/>
          <w:b/>
          <w:color w:val="833C0B" w:themeColor="accent2" w:themeShade="80"/>
          <w:sz w:val="24"/>
        </w:rPr>
      </w:pPr>
      <w:r w:rsidRPr="006417DA">
        <w:rPr>
          <w:rFonts w:ascii="Tenorite" w:hAnsi="Tenorite"/>
          <w:b/>
          <w:color w:val="833C0B" w:themeColor="accent2" w:themeShade="80"/>
          <w:sz w:val="24"/>
        </w:rPr>
        <w:t>NUTRITION – ALIMENTATION PARTICULIERE</w:t>
      </w:r>
    </w:p>
    <w:p w14:paraId="4DDA0D1E" w14:textId="48BD2059" w:rsidR="00767DBA" w:rsidRPr="006417DA" w:rsidRDefault="009E6EA2" w:rsidP="006417DA">
      <w:pPr>
        <w:spacing w:after="0" w:line="240" w:lineRule="auto"/>
        <w:ind w:left="142"/>
        <w:rPr>
          <w:rFonts w:ascii="Tenorite" w:hAnsi="Tenorite"/>
          <w:b/>
        </w:rPr>
      </w:pPr>
      <w:r>
        <w:rPr>
          <w:rFonts w:ascii="Tenorite" w:hAnsi="Tenorite"/>
          <w:b/>
        </w:rPr>
        <w:t>/</w:t>
      </w:r>
    </w:p>
    <w:p w14:paraId="67B68949" w14:textId="77777777" w:rsidR="002B7CB6" w:rsidRPr="006417DA" w:rsidRDefault="002B7CB6" w:rsidP="006417DA">
      <w:pPr>
        <w:shd w:val="clear" w:color="auto" w:fill="D9D9D9" w:themeFill="background1" w:themeFillShade="D9"/>
        <w:spacing w:after="0" w:line="240" w:lineRule="auto"/>
        <w:ind w:left="142"/>
        <w:rPr>
          <w:rFonts w:ascii="Tenorite" w:hAnsi="Tenorite"/>
          <w:b/>
          <w:color w:val="833C0B" w:themeColor="accent2" w:themeShade="80"/>
          <w:sz w:val="24"/>
        </w:rPr>
      </w:pPr>
      <w:r w:rsidRPr="006417DA">
        <w:rPr>
          <w:rFonts w:ascii="Tenorite" w:hAnsi="Tenorite"/>
          <w:b/>
          <w:color w:val="833C0B" w:themeColor="accent2" w:themeShade="80"/>
          <w:sz w:val="24"/>
        </w:rPr>
        <w:t>OGM</w:t>
      </w:r>
    </w:p>
    <w:p w14:paraId="33449877" w14:textId="77777777" w:rsidR="006417DA" w:rsidRPr="006417DA" w:rsidRDefault="006417DA" w:rsidP="006417DA">
      <w:pPr>
        <w:pStyle w:val="Titre3"/>
        <w:shd w:val="clear" w:color="auto" w:fill="FFFFFF"/>
        <w:spacing w:before="0" w:beforeAutospacing="0" w:after="0" w:afterAutospacing="0"/>
        <w:ind w:left="142"/>
        <w:jc w:val="both"/>
        <w:rPr>
          <w:rFonts w:ascii="Tenorite" w:eastAsiaTheme="minorHAnsi" w:hAnsi="Tenorite" w:cstheme="minorBidi"/>
          <w:b w:val="0"/>
          <w:bCs w:val="0"/>
          <w:i/>
          <w:sz w:val="20"/>
          <w:szCs w:val="20"/>
        </w:rPr>
      </w:pPr>
      <w:hyperlink r:id="rId28" w:history="1">
        <w:r w:rsidRPr="006417DA">
          <w:rPr>
            <w:rStyle w:val="Lienhypertexte"/>
            <w:rFonts w:ascii="Tenorite" w:eastAsiaTheme="minorHAnsi" w:hAnsi="Tenorite" w:cstheme="minorBidi"/>
            <w:b w:val="0"/>
            <w:bCs w:val="0"/>
            <w:sz w:val="20"/>
            <w:szCs w:val="20"/>
          </w:rPr>
          <w:t>Avis</w:t>
        </w:r>
      </w:hyperlink>
      <w:r w:rsidRPr="006417DA">
        <w:rPr>
          <w:rFonts w:ascii="Tenorite" w:eastAsiaTheme="minorHAnsi" w:hAnsi="Tenorite" w:cstheme="minorBidi"/>
          <w:b w:val="0"/>
          <w:bCs w:val="0"/>
          <w:sz w:val="20"/>
          <w:szCs w:val="20"/>
        </w:rPr>
        <w:t xml:space="preserve"> relatif à une demande d’autorisation de mise sur le marché (AMM) au titre du règlement (CE) n°1829/2003, du maïs génétiquement modifié DP51291 développé pour être tolérant au glufosinate-ammonium et pour être résistant à certains coléoptères, pour l’importation, la transformation ainsi que l’utilisation en alimentation humaine et animale de cet OGM (dossier n° GMFF-2021-0071)</w:t>
      </w:r>
      <w:r w:rsidRPr="006417DA">
        <w:rPr>
          <w:rFonts w:ascii="Tenorite" w:eastAsiaTheme="minorHAnsi" w:hAnsi="Tenorite" w:cstheme="minorBidi"/>
          <w:b w:val="0"/>
          <w:bCs w:val="0"/>
          <w:sz w:val="20"/>
          <w:szCs w:val="20"/>
        </w:rPr>
        <w:br/>
      </w:r>
    </w:p>
    <w:p w14:paraId="6999E45F" w14:textId="77777777" w:rsidR="006417DA" w:rsidRPr="006417DA" w:rsidRDefault="006417DA" w:rsidP="006417DA">
      <w:pPr>
        <w:pStyle w:val="Titre3"/>
        <w:spacing w:before="0" w:beforeAutospacing="0" w:after="0" w:afterAutospacing="0"/>
        <w:ind w:left="142"/>
        <w:jc w:val="both"/>
        <w:rPr>
          <w:rFonts w:ascii="Tenorite" w:eastAsiaTheme="minorHAnsi" w:hAnsi="Tenorite" w:cstheme="minorBidi"/>
          <w:b w:val="0"/>
          <w:bCs w:val="0"/>
          <w:i/>
          <w:sz w:val="20"/>
          <w:szCs w:val="20"/>
        </w:rPr>
      </w:pPr>
      <w:hyperlink r:id="rId29" w:history="1">
        <w:r w:rsidRPr="006417DA">
          <w:rPr>
            <w:rStyle w:val="Lienhypertexte"/>
            <w:rFonts w:ascii="Tenorite" w:eastAsiaTheme="minorHAnsi" w:hAnsi="Tenorite" w:cstheme="minorBidi"/>
            <w:b w:val="0"/>
            <w:bCs w:val="0"/>
            <w:sz w:val="20"/>
            <w:szCs w:val="20"/>
          </w:rPr>
          <w:t>Avis</w:t>
        </w:r>
      </w:hyperlink>
      <w:r w:rsidRPr="006417DA">
        <w:rPr>
          <w:rFonts w:ascii="Tenorite" w:eastAsiaTheme="minorHAnsi" w:hAnsi="Tenorite" w:cstheme="minorBidi"/>
          <w:b w:val="0"/>
          <w:bCs w:val="0"/>
          <w:sz w:val="20"/>
          <w:szCs w:val="20"/>
        </w:rPr>
        <w:t xml:space="preserve"> relatif au projet de décret relatif à la modification de la liste des techniques d’obtention d’organismes génétiquement modifiés ayant fait l’objet d’une utilisation traditionnelle et dont la sécurité pour la santé publique ou l’environnement est avérée depuis longtemps – avis signé le 31/01/2025</w:t>
      </w:r>
    </w:p>
    <w:p w14:paraId="60BDB1D3" w14:textId="77777777" w:rsidR="001B42BB" w:rsidRPr="006417DA" w:rsidRDefault="001B42BB" w:rsidP="006417DA">
      <w:pPr>
        <w:spacing w:after="0" w:line="240" w:lineRule="auto"/>
        <w:ind w:left="142"/>
        <w:rPr>
          <w:rFonts w:ascii="Tenorite" w:hAnsi="Tenorite"/>
          <w:b/>
        </w:rPr>
      </w:pPr>
    </w:p>
    <w:p w14:paraId="685BD29A" w14:textId="48D81777" w:rsidR="002B7CB6" w:rsidRPr="006417DA" w:rsidRDefault="00767DBA" w:rsidP="006417DA">
      <w:pPr>
        <w:shd w:val="clear" w:color="auto" w:fill="D9D9D9" w:themeFill="background1" w:themeFillShade="D9"/>
        <w:spacing w:after="0" w:line="240" w:lineRule="auto"/>
        <w:ind w:left="142"/>
        <w:rPr>
          <w:rFonts w:ascii="Tenorite" w:hAnsi="Tenorite"/>
          <w:b/>
          <w:color w:val="833C0B" w:themeColor="accent2" w:themeShade="80"/>
          <w:sz w:val="24"/>
        </w:rPr>
      </w:pPr>
      <w:r w:rsidRPr="006417DA">
        <w:rPr>
          <w:rFonts w:ascii="Tenorite" w:hAnsi="Tenorite"/>
          <w:b/>
          <w:color w:val="833C0B" w:themeColor="accent2" w:themeShade="80"/>
          <w:sz w:val="24"/>
        </w:rPr>
        <w:t xml:space="preserve">PRODUITS BIOLOGIQUES </w:t>
      </w:r>
    </w:p>
    <w:p w14:paraId="048B6E6A" w14:textId="77777777" w:rsidR="001767C2" w:rsidRPr="006417DA" w:rsidRDefault="001767C2" w:rsidP="006417DA">
      <w:pPr>
        <w:shd w:val="clear" w:color="auto" w:fill="FFFFFF"/>
        <w:spacing w:after="0" w:line="240" w:lineRule="auto"/>
        <w:ind w:left="142"/>
        <w:jc w:val="both"/>
        <w:rPr>
          <w:rFonts w:ascii="Tenorite" w:hAnsi="Tenorite"/>
          <w:sz w:val="20"/>
          <w:szCs w:val="20"/>
        </w:rPr>
      </w:pPr>
      <w:hyperlink r:id="rId30" w:history="1">
        <w:r w:rsidRPr="006417DA">
          <w:rPr>
            <w:rStyle w:val="Lienhypertexte"/>
            <w:rFonts w:ascii="Tenorite" w:eastAsia="Times New Roman" w:hAnsi="Tenorite" w:cs="Times New Roman"/>
            <w:sz w:val="20"/>
            <w:szCs w:val="20"/>
            <w:lang w:eastAsia="fr-FR"/>
          </w:rPr>
          <w:t>Règlement</w:t>
        </w:r>
      </w:hyperlink>
      <w:r w:rsidRPr="006417DA">
        <w:rPr>
          <w:rFonts w:ascii="Tenorite" w:eastAsia="Times New Roman" w:hAnsi="Tenorite" w:cs="Times New Roman"/>
          <w:color w:val="636363"/>
          <w:sz w:val="20"/>
          <w:szCs w:val="20"/>
          <w:lang w:eastAsia="fr-FR"/>
        </w:rPr>
        <w:t xml:space="preserve"> délégué (UE) 2025/452 de la Commission du 19 décembre 2024 rectifiant le règlement délégué (UE) 2021/642 modifiant l’annexe III du règlement (UE) 2018/848 du Parlement européen et du Conseil en ce qui concerne certaines informations à communiquer sur l’étiquetage des produits biologiques (JOUE 05/03/2025)</w:t>
      </w:r>
    </w:p>
    <w:p w14:paraId="66D14657" w14:textId="77777777" w:rsidR="00767DBA" w:rsidRPr="006417DA" w:rsidRDefault="00767DBA" w:rsidP="006417DA">
      <w:pPr>
        <w:spacing w:after="0" w:line="240" w:lineRule="auto"/>
        <w:ind w:left="142"/>
        <w:rPr>
          <w:rFonts w:ascii="Tenorite" w:hAnsi="Tenorite"/>
          <w:color w:val="C45911" w:themeColor="accent2" w:themeShade="BF"/>
          <w:sz w:val="20"/>
        </w:rPr>
      </w:pPr>
    </w:p>
    <w:p w14:paraId="54E176FF" w14:textId="679FF40F" w:rsidR="00767DBA" w:rsidRPr="006417DA" w:rsidRDefault="00767DBA" w:rsidP="006417DA">
      <w:pPr>
        <w:shd w:val="clear" w:color="auto" w:fill="D9D9D9" w:themeFill="background1" w:themeFillShade="D9"/>
        <w:spacing w:after="0" w:line="240" w:lineRule="auto"/>
        <w:ind w:left="142"/>
        <w:rPr>
          <w:rFonts w:ascii="Tenorite" w:hAnsi="Tenorite"/>
          <w:b/>
          <w:color w:val="833C0B" w:themeColor="accent2" w:themeShade="80"/>
          <w:sz w:val="24"/>
        </w:rPr>
      </w:pPr>
      <w:r w:rsidRPr="006417DA">
        <w:rPr>
          <w:rFonts w:ascii="Tenorite" w:hAnsi="Tenorite"/>
          <w:b/>
          <w:color w:val="833C0B" w:themeColor="accent2" w:themeShade="80"/>
          <w:sz w:val="24"/>
        </w:rPr>
        <w:t>SIGNES OFFICIELS DE QUALITE</w:t>
      </w:r>
    </w:p>
    <w:p w14:paraId="004E32DE" w14:textId="1A8EDF4F" w:rsidR="005F3EA3" w:rsidRPr="006417DA" w:rsidRDefault="009E6EA2" w:rsidP="006417DA">
      <w:pPr>
        <w:spacing w:after="0" w:line="240" w:lineRule="auto"/>
        <w:ind w:left="142"/>
        <w:rPr>
          <w:rFonts w:ascii="Tenorite" w:hAnsi="Tenorite"/>
          <w:b/>
        </w:rPr>
      </w:pPr>
      <w:r>
        <w:rPr>
          <w:rFonts w:ascii="Tenorite" w:hAnsi="Tenorite"/>
          <w:b/>
        </w:rPr>
        <w:t>/</w:t>
      </w:r>
    </w:p>
    <w:p w14:paraId="415BEA78" w14:textId="74F4CD00" w:rsidR="002B7CB6" w:rsidRPr="006417DA" w:rsidRDefault="002B7CB6" w:rsidP="006417DA">
      <w:pPr>
        <w:shd w:val="clear" w:color="auto" w:fill="D9D9D9" w:themeFill="background1" w:themeFillShade="D9"/>
        <w:spacing w:after="0" w:line="240" w:lineRule="auto"/>
        <w:ind w:left="142"/>
        <w:rPr>
          <w:rFonts w:ascii="Tenorite" w:hAnsi="Tenorite"/>
          <w:b/>
          <w:color w:val="833C0B" w:themeColor="accent2" w:themeShade="80"/>
          <w:sz w:val="24"/>
        </w:rPr>
      </w:pPr>
      <w:r w:rsidRPr="006417DA">
        <w:rPr>
          <w:rFonts w:ascii="Tenorite" w:hAnsi="Tenorite"/>
          <w:b/>
          <w:color w:val="833C0B" w:themeColor="accent2" w:themeShade="80"/>
          <w:sz w:val="24"/>
        </w:rPr>
        <w:t>TRAITEMENT</w:t>
      </w:r>
      <w:r w:rsidR="00767DBA" w:rsidRPr="006417DA">
        <w:rPr>
          <w:rFonts w:ascii="Tenorite" w:hAnsi="Tenorite"/>
          <w:b/>
          <w:color w:val="833C0B" w:themeColor="accent2" w:themeShade="80"/>
          <w:sz w:val="24"/>
        </w:rPr>
        <w:t xml:space="preserve"> DES DENREES ALIEMNTAIRES </w:t>
      </w:r>
    </w:p>
    <w:p w14:paraId="7E3ECBE4" w14:textId="500A0956" w:rsidR="001B42BB" w:rsidRPr="006417DA" w:rsidRDefault="002B7CB6"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Fumigation</w:t>
      </w:r>
      <w:r w:rsidR="009E6EA2">
        <w:rPr>
          <w:rFonts w:ascii="Tenorite" w:hAnsi="Tenorite"/>
          <w:color w:val="C45911" w:themeColor="accent2" w:themeShade="BF"/>
          <w:sz w:val="20"/>
        </w:rPr>
        <w:t xml:space="preserve"> /</w:t>
      </w:r>
    </w:p>
    <w:p w14:paraId="4A20E2E9" w14:textId="3B1AC707" w:rsidR="001B42BB" w:rsidRPr="006417DA" w:rsidRDefault="002B7CB6"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Ionisation</w:t>
      </w:r>
      <w:r w:rsidR="009E6EA2">
        <w:rPr>
          <w:rFonts w:ascii="Tenorite" w:hAnsi="Tenorite"/>
          <w:color w:val="C45911" w:themeColor="accent2" w:themeShade="BF"/>
          <w:sz w:val="20"/>
        </w:rPr>
        <w:t xml:space="preserve"> /</w:t>
      </w:r>
    </w:p>
    <w:p w14:paraId="6AADF2DD" w14:textId="5680662A" w:rsidR="001B42BB" w:rsidRPr="006417DA" w:rsidRDefault="002B7CB6"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 xml:space="preserve">Lyophilisation </w:t>
      </w:r>
      <w:r w:rsidR="009E6EA2">
        <w:rPr>
          <w:rFonts w:ascii="Tenorite" w:hAnsi="Tenorite"/>
          <w:color w:val="C45911" w:themeColor="accent2" w:themeShade="BF"/>
          <w:sz w:val="20"/>
        </w:rPr>
        <w:t>/</w:t>
      </w:r>
    </w:p>
    <w:p w14:paraId="2E4AE98B" w14:textId="7CE41ED9" w:rsidR="001B42BB" w:rsidRPr="006417DA" w:rsidRDefault="002B7CB6" w:rsidP="006417DA">
      <w:pPr>
        <w:spacing w:after="0" w:line="240" w:lineRule="auto"/>
        <w:ind w:left="142"/>
        <w:rPr>
          <w:rFonts w:ascii="Tenorite" w:hAnsi="Tenorite"/>
          <w:color w:val="C45911" w:themeColor="accent2" w:themeShade="BF"/>
          <w:sz w:val="20"/>
        </w:rPr>
      </w:pPr>
      <w:r w:rsidRPr="006417DA">
        <w:rPr>
          <w:rFonts w:ascii="Tenorite" w:hAnsi="Tenorite"/>
          <w:color w:val="C45911" w:themeColor="accent2" w:themeShade="BF"/>
          <w:sz w:val="20"/>
        </w:rPr>
        <w:t>Surgélation</w:t>
      </w:r>
      <w:r w:rsidR="009E6EA2">
        <w:rPr>
          <w:rFonts w:ascii="Tenorite" w:hAnsi="Tenorite"/>
          <w:color w:val="C45911" w:themeColor="accent2" w:themeShade="BF"/>
          <w:sz w:val="20"/>
        </w:rPr>
        <w:t xml:space="preserve"> /</w:t>
      </w:r>
    </w:p>
    <w:p w14:paraId="72ACAB2C" w14:textId="77777777" w:rsidR="00D025D4" w:rsidRPr="006417DA" w:rsidRDefault="00D025D4" w:rsidP="006417DA">
      <w:pPr>
        <w:tabs>
          <w:tab w:val="left" w:pos="4785"/>
        </w:tabs>
        <w:spacing w:after="0" w:line="240" w:lineRule="auto"/>
        <w:ind w:left="142"/>
        <w:rPr>
          <w:rFonts w:ascii="Tenorite" w:hAnsi="Tenorite"/>
        </w:rPr>
      </w:pPr>
      <w:r w:rsidRPr="006417DA">
        <w:rPr>
          <w:rFonts w:ascii="Tenorite" w:hAnsi="Tenorite"/>
        </w:rPr>
        <w:tab/>
      </w:r>
    </w:p>
    <w:p w14:paraId="652FAA4C" w14:textId="77777777" w:rsidR="00D025D4" w:rsidRPr="006417DA" w:rsidRDefault="00D025D4" w:rsidP="006417DA">
      <w:pPr>
        <w:spacing w:after="0" w:line="240" w:lineRule="auto"/>
        <w:ind w:left="142"/>
        <w:rPr>
          <w:rFonts w:ascii="Tenorite" w:hAnsi="Tenorite" w:cs="Tahoma"/>
          <w:b/>
          <w:color w:val="EF671A"/>
          <w:sz w:val="8"/>
          <w:szCs w:val="8"/>
          <w:u w:val="single"/>
        </w:rPr>
      </w:pPr>
    </w:p>
    <w:p w14:paraId="70A5146D" w14:textId="77777777" w:rsidR="00D025D4" w:rsidRPr="006417DA" w:rsidRDefault="00D025D4" w:rsidP="006417DA">
      <w:pPr>
        <w:spacing w:after="0" w:line="240" w:lineRule="auto"/>
        <w:ind w:left="142"/>
        <w:rPr>
          <w:rFonts w:ascii="Tenorite" w:hAnsi="Tenorite" w:cs="Tahoma"/>
          <w:b/>
          <w:color w:val="EF671A"/>
          <w:sz w:val="24"/>
          <w:szCs w:val="24"/>
          <w:u w:val="single"/>
        </w:rPr>
      </w:pPr>
      <w:r w:rsidRPr="006417DA">
        <w:rPr>
          <w:rFonts w:ascii="Tenorite" w:hAnsi="Tenorite" w:cs="Tahoma"/>
          <w:b/>
          <w:color w:val="EF671A"/>
          <w:sz w:val="32"/>
          <w:szCs w:val="32"/>
          <w:u w:val="single"/>
        </w:rPr>
        <w:t>Partie 2 : Règlementation verticale</w:t>
      </w:r>
      <w:r w:rsidRPr="006417DA">
        <w:rPr>
          <w:rFonts w:ascii="Tenorite" w:hAnsi="Tenorite" w:cs="Tahoma"/>
          <w:b/>
          <w:color w:val="EF671A"/>
          <w:sz w:val="32"/>
          <w:szCs w:val="32"/>
        </w:rPr>
        <w:t xml:space="preserve"> : </w:t>
      </w:r>
      <w:r w:rsidRPr="006417DA">
        <w:rPr>
          <w:rFonts w:ascii="Tenorite" w:hAnsi="Tenorite" w:cs="Tahoma"/>
          <w:b/>
          <w:color w:val="EF671A"/>
          <w:sz w:val="24"/>
          <w:szCs w:val="24"/>
        </w:rPr>
        <w:t>Secteurs d’activité (Matières traitées et produits finis)</w:t>
      </w:r>
    </w:p>
    <w:p w14:paraId="227D4157" w14:textId="2F88B25E" w:rsidR="00D025D4" w:rsidRPr="006417DA" w:rsidRDefault="00E464D9" w:rsidP="006417DA">
      <w:pPr>
        <w:shd w:val="clear" w:color="auto" w:fill="D9D9D9" w:themeFill="background1" w:themeFillShade="D9"/>
        <w:spacing w:after="0" w:line="240" w:lineRule="auto"/>
        <w:ind w:left="142"/>
        <w:rPr>
          <w:rFonts w:ascii="Tenorite" w:hAnsi="Tenorite"/>
          <w:b/>
          <w:color w:val="833C0B" w:themeColor="accent2" w:themeShade="80"/>
          <w:sz w:val="24"/>
          <w:szCs w:val="24"/>
        </w:rPr>
      </w:pPr>
      <w:r w:rsidRPr="006417DA">
        <w:rPr>
          <w:rFonts w:ascii="Tenorite" w:hAnsi="Tenorite"/>
          <w:b/>
          <w:color w:val="833C0B" w:themeColor="accent2" w:themeShade="80"/>
          <w:sz w:val="24"/>
          <w:szCs w:val="24"/>
        </w:rPr>
        <w:t>CEREALES ET PRODUITS DU GRAIN</w:t>
      </w:r>
    </w:p>
    <w:p w14:paraId="5528EBC8" w14:textId="188A18CB" w:rsidR="00E464D9" w:rsidRPr="006417DA" w:rsidRDefault="00E464D9" w:rsidP="006417DA">
      <w:pPr>
        <w:spacing w:after="0" w:line="240" w:lineRule="auto"/>
        <w:ind w:left="142"/>
        <w:rPr>
          <w:rFonts w:ascii="Tenorite" w:hAnsi="Tenorite"/>
          <w:color w:val="C45911" w:themeColor="accent2" w:themeShade="BF"/>
          <w:sz w:val="20"/>
          <w:szCs w:val="18"/>
        </w:rPr>
      </w:pPr>
      <w:r w:rsidRPr="006417DA">
        <w:rPr>
          <w:rFonts w:ascii="Tenorite" w:hAnsi="Tenorite"/>
          <w:color w:val="C45911" w:themeColor="accent2" w:themeShade="BF"/>
          <w:sz w:val="20"/>
          <w:szCs w:val="18"/>
        </w:rPr>
        <w:t>Céréales</w:t>
      </w:r>
      <w:r w:rsidR="009E6EA2">
        <w:rPr>
          <w:rFonts w:ascii="Tenorite" w:hAnsi="Tenorite"/>
          <w:color w:val="C45911" w:themeColor="accent2" w:themeShade="BF"/>
          <w:sz w:val="20"/>
          <w:szCs w:val="18"/>
        </w:rPr>
        <w:t xml:space="preserve"> /</w:t>
      </w:r>
    </w:p>
    <w:p w14:paraId="1DEA3D7C" w14:textId="7F9E4176" w:rsidR="00E464D9" w:rsidRPr="006417DA" w:rsidRDefault="00E464D9" w:rsidP="006417DA">
      <w:pPr>
        <w:spacing w:after="0" w:line="240" w:lineRule="auto"/>
        <w:ind w:left="142"/>
        <w:rPr>
          <w:rFonts w:ascii="Tenorite" w:hAnsi="Tenorite"/>
          <w:color w:val="C45911" w:themeColor="accent2" w:themeShade="BF"/>
          <w:sz w:val="20"/>
          <w:szCs w:val="18"/>
        </w:rPr>
      </w:pPr>
      <w:r w:rsidRPr="006417DA">
        <w:rPr>
          <w:rFonts w:ascii="Tenorite" w:hAnsi="Tenorite"/>
          <w:color w:val="C45911" w:themeColor="accent2" w:themeShade="BF"/>
          <w:sz w:val="20"/>
          <w:szCs w:val="18"/>
        </w:rPr>
        <w:t>Farines</w:t>
      </w:r>
      <w:r w:rsidR="009E6EA2">
        <w:rPr>
          <w:rFonts w:ascii="Tenorite" w:hAnsi="Tenorite"/>
          <w:color w:val="C45911" w:themeColor="accent2" w:themeShade="BF"/>
          <w:sz w:val="20"/>
          <w:szCs w:val="18"/>
        </w:rPr>
        <w:t xml:space="preserve"> /</w:t>
      </w:r>
    </w:p>
    <w:p w14:paraId="3E45921E" w14:textId="0D8987FA" w:rsidR="00E464D9" w:rsidRPr="006417DA" w:rsidRDefault="00E464D9" w:rsidP="006417DA">
      <w:pPr>
        <w:spacing w:after="0" w:line="240" w:lineRule="auto"/>
        <w:ind w:left="142"/>
        <w:rPr>
          <w:rFonts w:ascii="Tenorite" w:hAnsi="Tenorite"/>
          <w:color w:val="C45911" w:themeColor="accent2" w:themeShade="BF"/>
          <w:sz w:val="20"/>
          <w:szCs w:val="18"/>
        </w:rPr>
      </w:pPr>
      <w:r w:rsidRPr="006417DA">
        <w:rPr>
          <w:rFonts w:ascii="Tenorite" w:hAnsi="Tenorite"/>
          <w:color w:val="C45911" w:themeColor="accent2" w:themeShade="BF"/>
          <w:sz w:val="20"/>
          <w:szCs w:val="18"/>
        </w:rPr>
        <w:t>Pains, viennoiseries</w:t>
      </w:r>
      <w:r w:rsidR="009E6EA2">
        <w:rPr>
          <w:rFonts w:ascii="Tenorite" w:hAnsi="Tenorite"/>
          <w:color w:val="C45911" w:themeColor="accent2" w:themeShade="BF"/>
          <w:sz w:val="20"/>
          <w:szCs w:val="18"/>
        </w:rPr>
        <w:t xml:space="preserve"> /</w:t>
      </w:r>
    </w:p>
    <w:p w14:paraId="31CA8B86" w14:textId="5110F7D5" w:rsidR="00E464D9" w:rsidRPr="006417DA" w:rsidRDefault="00E464D9" w:rsidP="006417DA">
      <w:pPr>
        <w:spacing w:after="0" w:line="240" w:lineRule="auto"/>
        <w:ind w:left="142"/>
        <w:rPr>
          <w:rFonts w:ascii="Tenorite" w:hAnsi="Tenorite"/>
          <w:color w:val="C45911" w:themeColor="accent2" w:themeShade="BF"/>
          <w:sz w:val="20"/>
          <w:szCs w:val="18"/>
        </w:rPr>
      </w:pPr>
      <w:r w:rsidRPr="006417DA">
        <w:rPr>
          <w:rFonts w:ascii="Tenorite" w:hAnsi="Tenorite"/>
          <w:color w:val="C45911" w:themeColor="accent2" w:themeShade="BF"/>
          <w:sz w:val="20"/>
          <w:szCs w:val="18"/>
        </w:rPr>
        <w:t>Pâtisseries</w:t>
      </w:r>
      <w:r w:rsidR="009E6EA2">
        <w:rPr>
          <w:rFonts w:ascii="Tenorite" w:hAnsi="Tenorite"/>
          <w:color w:val="C45911" w:themeColor="accent2" w:themeShade="BF"/>
          <w:sz w:val="20"/>
          <w:szCs w:val="18"/>
        </w:rPr>
        <w:t xml:space="preserve"> /</w:t>
      </w:r>
    </w:p>
    <w:p w14:paraId="42576B6C" w14:textId="77777777" w:rsidR="00E464D9" w:rsidRPr="006417DA" w:rsidRDefault="00E464D9" w:rsidP="006417DA">
      <w:pPr>
        <w:spacing w:after="0" w:line="240" w:lineRule="auto"/>
        <w:ind w:left="142"/>
        <w:rPr>
          <w:rFonts w:ascii="Tenorite" w:hAnsi="Tenorite"/>
          <w:color w:val="C45911" w:themeColor="accent2" w:themeShade="BF"/>
          <w:sz w:val="20"/>
          <w:szCs w:val="18"/>
        </w:rPr>
      </w:pPr>
      <w:r w:rsidRPr="006417DA">
        <w:rPr>
          <w:rFonts w:ascii="Tenorite" w:hAnsi="Tenorite"/>
          <w:color w:val="C45911" w:themeColor="accent2" w:themeShade="BF"/>
          <w:sz w:val="20"/>
          <w:szCs w:val="18"/>
        </w:rPr>
        <w:t>Signes officiels de qualité</w:t>
      </w:r>
    </w:p>
    <w:p w14:paraId="1BA88CC7" w14:textId="77777777" w:rsidR="00B33ECA" w:rsidRPr="006417DA" w:rsidRDefault="00B33ECA" w:rsidP="006417DA">
      <w:pPr>
        <w:pStyle w:val="Textebrut"/>
        <w:ind w:left="142"/>
        <w:jc w:val="both"/>
        <w:rPr>
          <w:rFonts w:ascii="Tenorite" w:hAnsi="Tenorite"/>
          <w:sz w:val="20"/>
          <w:szCs w:val="20"/>
        </w:rPr>
      </w:pPr>
      <w:hyperlink r:id="rId31" w:history="1">
        <w:r w:rsidRPr="006417DA">
          <w:rPr>
            <w:rStyle w:val="Lienhypertexte"/>
            <w:rFonts w:ascii="Tenorite" w:hAnsi="Tenorite"/>
            <w:sz w:val="20"/>
            <w:szCs w:val="20"/>
          </w:rPr>
          <w:t>Arrêté</w:t>
        </w:r>
      </w:hyperlink>
      <w:r w:rsidRPr="006417DA">
        <w:rPr>
          <w:rFonts w:ascii="Tenorite" w:hAnsi="Tenorite"/>
          <w:sz w:val="20"/>
          <w:szCs w:val="20"/>
        </w:rPr>
        <w:t xml:space="preserve"> du 21 mars 2025 portant homologation du cahier des charges du label rouge n° LA 22/01 « Baguette de tradition française » (JORF 29/03/2025)</w:t>
      </w:r>
    </w:p>
    <w:p w14:paraId="548E6F26" w14:textId="77777777" w:rsidR="00B33ECA" w:rsidRPr="006417DA" w:rsidRDefault="00B33ECA" w:rsidP="006417DA">
      <w:pPr>
        <w:pStyle w:val="Textebrut"/>
        <w:ind w:left="142"/>
        <w:jc w:val="both"/>
        <w:rPr>
          <w:rFonts w:ascii="Tenorite" w:hAnsi="Tenorite"/>
          <w:sz w:val="20"/>
          <w:szCs w:val="20"/>
        </w:rPr>
      </w:pPr>
    </w:p>
    <w:p w14:paraId="23553ACC" w14:textId="77777777" w:rsidR="00B33ECA" w:rsidRPr="006417DA" w:rsidRDefault="00B33ECA" w:rsidP="006417DA">
      <w:pPr>
        <w:spacing w:after="0" w:line="240" w:lineRule="auto"/>
        <w:ind w:left="142"/>
        <w:jc w:val="both"/>
        <w:rPr>
          <w:rFonts w:ascii="Tenorite" w:eastAsia="Times New Roman" w:hAnsi="Tenorite" w:cs="Times New Roman"/>
          <w:color w:val="636363"/>
          <w:sz w:val="20"/>
          <w:szCs w:val="20"/>
          <w:lang w:eastAsia="fr-FR"/>
        </w:rPr>
      </w:pPr>
      <w:hyperlink r:id="rId32" w:history="1">
        <w:r w:rsidRPr="006417DA">
          <w:rPr>
            <w:rStyle w:val="Lienhypertexte"/>
            <w:rFonts w:ascii="Tenorite" w:eastAsia="Times New Roman" w:hAnsi="Tenorite" w:cs="Times New Roman"/>
            <w:b/>
            <w:bCs/>
            <w:sz w:val="20"/>
            <w:szCs w:val="20"/>
            <w:lang w:eastAsia="fr-FR"/>
          </w:rPr>
          <w:t>Cahier des charges</w:t>
        </w:r>
      </w:hyperlink>
      <w:r w:rsidRPr="006417DA">
        <w:rPr>
          <w:rFonts w:ascii="Tenorite" w:eastAsia="Times New Roman" w:hAnsi="Tenorite" w:cs="Times New Roman"/>
          <w:color w:val="636363"/>
          <w:sz w:val="20"/>
          <w:szCs w:val="20"/>
          <w:lang w:eastAsia="fr-FR"/>
        </w:rPr>
        <w:t> du 03-04-2025 - Cahier des charges du label rouge n° LA 22/01 « Baguette de tradition française », homologué par l'arrêté du 21 mars 2025 (DGPE)</w:t>
      </w:r>
    </w:p>
    <w:p w14:paraId="5F92F1DB" w14:textId="77777777" w:rsidR="00B33ECA" w:rsidRPr="006417DA" w:rsidRDefault="00B33ECA" w:rsidP="006417DA">
      <w:pPr>
        <w:pStyle w:val="Textebrut"/>
        <w:ind w:left="142"/>
        <w:rPr>
          <w:rFonts w:ascii="Tenorite" w:hAnsi="Tenorite"/>
        </w:rPr>
      </w:pPr>
    </w:p>
    <w:p w14:paraId="6E6DF8A2" w14:textId="2417BB3C" w:rsidR="00E464D9" w:rsidRPr="006417DA" w:rsidRDefault="00E464D9" w:rsidP="006417DA">
      <w:pPr>
        <w:shd w:val="clear" w:color="auto" w:fill="D9D9D9" w:themeFill="background1" w:themeFillShade="D9"/>
        <w:spacing w:after="0" w:line="240" w:lineRule="auto"/>
        <w:ind w:left="142"/>
        <w:rPr>
          <w:rFonts w:ascii="Tenorite" w:hAnsi="Tenorite"/>
          <w:b/>
        </w:rPr>
      </w:pPr>
      <w:r w:rsidRPr="006417DA">
        <w:rPr>
          <w:rFonts w:ascii="Tenorite" w:hAnsi="Tenorite"/>
          <w:b/>
          <w:color w:val="833C0B" w:themeColor="accent2" w:themeShade="80"/>
          <w:sz w:val="24"/>
          <w:szCs w:val="24"/>
        </w:rPr>
        <w:t>EAU</w:t>
      </w:r>
    </w:p>
    <w:p w14:paraId="46A1F330" w14:textId="77777777" w:rsidR="001767C2" w:rsidRDefault="001767C2" w:rsidP="006417DA">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33" w:history="1">
        <w:r w:rsidRPr="006417DA">
          <w:rPr>
            <w:rStyle w:val="Lienhypertexte"/>
            <w:rFonts w:ascii="Tenorite" w:eastAsia="Times New Roman" w:hAnsi="Tenorite" w:cs="Times New Roman"/>
            <w:sz w:val="20"/>
            <w:szCs w:val="20"/>
            <w:lang w:eastAsia="fr-FR"/>
          </w:rPr>
          <w:t>Décision</w:t>
        </w:r>
      </w:hyperlink>
      <w:r w:rsidRPr="006417DA">
        <w:rPr>
          <w:rFonts w:ascii="Tenorite" w:eastAsia="Times New Roman" w:hAnsi="Tenorite" w:cs="Times New Roman"/>
          <w:color w:val="636363"/>
          <w:sz w:val="20"/>
          <w:szCs w:val="20"/>
          <w:lang w:eastAsia="fr-FR"/>
        </w:rPr>
        <w:t xml:space="preserve"> d’exécution (UE) 2025/439 de la Commission du 28 février 2025 établissant une liste de vigilance relative aux substances soumises à surveillance à l’échelle de l’Union dans le domaine de la politique de l’eau en vertu de la directive 2008/105/CE du Parlement européen et du Conseil (JOUE 03/03/2025)</w:t>
      </w:r>
    </w:p>
    <w:p w14:paraId="007C69D1" w14:textId="77777777" w:rsidR="006417DA" w:rsidRPr="006417DA" w:rsidRDefault="006417DA" w:rsidP="006417DA">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13735575" w14:textId="77777777" w:rsidR="006417DA" w:rsidRDefault="001767C2" w:rsidP="009E6EA2">
      <w:pPr>
        <w:spacing w:after="0" w:line="240" w:lineRule="auto"/>
        <w:ind w:left="142" w:right="-1"/>
        <w:jc w:val="both"/>
        <w:rPr>
          <w:rFonts w:ascii="Tenorite" w:eastAsia="Times New Roman" w:hAnsi="Tenorite" w:cs="Times New Roman"/>
          <w:color w:val="636363"/>
          <w:sz w:val="20"/>
          <w:szCs w:val="20"/>
          <w:lang w:eastAsia="fr-FR"/>
        </w:rPr>
      </w:pPr>
      <w:r w:rsidRPr="006417DA">
        <w:rPr>
          <w:rFonts w:ascii="Tenorite" w:eastAsia="Times New Roman" w:hAnsi="Tenorite" w:cs="Times New Roman"/>
          <w:b/>
          <w:bCs/>
          <w:color w:val="636363"/>
          <w:sz w:val="20"/>
          <w:szCs w:val="20"/>
          <w:lang w:eastAsia="fr-FR"/>
        </w:rPr>
        <w:t>Instruction technique </w:t>
      </w:r>
      <w:bookmarkStart w:id="4" w:name="_Hlk194791815"/>
      <w:r w:rsidRPr="006417DA">
        <w:rPr>
          <w:rFonts w:ascii="Tenorite" w:eastAsia="Times New Roman" w:hAnsi="Tenorite" w:cs="Times New Roman"/>
          <w:color w:val="636363"/>
          <w:sz w:val="20"/>
          <w:szCs w:val="20"/>
          <w:lang w:eastAsia="fr-FR"/>
        </w:rPr>
        <w:fldChar w:fldCharType="begin"/>
      </w:r>
      <w:r w:rsidRPr="006417DA">
        <w:rPr>
          <w:rFonts w:ascii="Tenorite" w:eastAsia="Times New Roman" w:hAnsi="Tenorite" w:cs="Times New Roman"/>
          <w:color w:val="636363"/>
          <w:sz w:val="20"/>
          <w:szCs w:val="20"/>
          <w:lang w:eastAsia="fr-FR"/>
        </w:rPr>
        <w:instrText>HYPERLINK "https://info.agriculture.gouv.fr/boagri/instruction-2025-173"</w:instrText>
      </w:r>
      <w:r w:rsidRPr="006417DA">
        <w:rPr>
          <w:rFonts w:ascii="Tenorite" w:eastAsia="Times New Roman" w:hAnsi="Tenorite" w:cs="Times New Roman"/>
          <w:color w:val="636363"/>
          <w:sz w:val="20"/>
          <w:szCs w:val="20"/>
          <w:lang w:eastAsia="fr-FR"/>
        </w:rPr>
      </w:r>
      <w:r w:rsidRPr="006417DA">
        <w:rPr>
          <w:rFonts w:ascii="Tenorite" w:eastAsia="Times New Roman" w:hAnsi="Tenorite" w:cs="Times New Roman"/>
          <w:color w:val="636363"/>
          <w:sz w:val="20"/>
          <w:szCs w:val="20"/>
          <w:lang w:eastAsia="fr-FR"/>
        </w:rPr>
        <w:fldChar w:fldCharType="separate"/>
      </w:r>
      <w:r w:rsidRPr="006417DA">
        <w:rPr>
          <w:rFonts w:ascii="Tenorite" w:eastAsia="Times New Roman" w:hAnsi="Tenorite" w:cs="Times New Roman"/>
          <w:color w:val="0088CC"/>
          <w:sz w:val="20"/>
          <w:szCs w:val="20"/>
          <w:u w:val="single"/>
          <w:lang w:eastAsia="fr-FR"/>
        </w:rPr>
        <w:t>DGAL/SDSSA/2025-173</w:t>
      </w:r>
      <w:r w:rsidRPr="006417DA">
        <w:rPr>
          <w:rFonts w:ascii="Tenorite" w:eastAsia="Times New Roman" w:hAnsi="Tenorite" w:cs="Times New Roman"/>
          <w:color w:val="636363"/>
          <w:sz w:val="20"/>
          <w:szCs w:val="20"/>
          <w:lang w:eastAsia="fr-FR"/>
        </w:rPr>
        <w:fldChar w:fldCharType="end"/>
      </w:r>
      <w:bookmarkEnd w:id="4"/>
      <w:r w:rsidRPr="006417DA">
        <w:rPr>
          <w:rFonts w:ascii="Tenorite" w:eastAsia="Times New Roman" w:hAnsi="Tenorite" w:cs="Times New Roman"/>
          <w:color w:val="636363"/>
          <w:sz w:val="20"/>
          <w:szCs w:val="20"/>
          <w:lang w:eastAsia="fr-FR"/>
        </w:rPr>
        <w:t> du 18-03-2025 - Modalités d’autorisation et de déclaration des eaux impropres à la consommation, recyclées pour la préparation et la conservation de toutes denrées et marchandises destinées à l’alimentation humaine. (DGAL)</w:t>
      </w:r>
    </w:p>
    <w:p w14:paraId="16E1A365" w14:textId="77777777" w:rsidR="009E6EA2" w:rsidRDefault="009E6EA2" w:rsidP="006417DA">
      <w:pPr>
        <w:spacing w:after="0" w:line="240" w:lineRule="auto"/>
        <w:ind w:left="142" w:right="-284"/>
        <w:jc w:val="both"/>
        <w:rPr>
          <w:rFonts w:ascii="Tenorite" w:eastAsia="Times New Roman" w:hAnsi="Tenorite" w:cs="Times New Roman"/>
          <w:color w:val="636363"/>
          <w:sz w:val="20"/>
          <w:szCs w:val="20"/>
          <w:lang w:eastAsia="fr-FR"/>
        </w:rPr>
      </w:pPr>
    </w:p>
    <w:p w14:paraId="57B86A9D" w14:textId="2320FAA8" w:rsidR="00E464D9" w:rsidRPr="006417DA" w:rsidRDefault="00E464D9" w:rsidP="006417DA">
      <w:pPr>
        <w:shd w:val="clear" w:color="auto" w:fill="D9D9D9" w:themeFill="background1" w:themeFillShade="D9"/>
        <w:spacing w:after="0" w:line="240" w:lineRule="auto"/>
        <w:ind w:left="142"/>
        <w:rPr>
          <w:rFonts w:ascii="Tenorite" w:hAnsi="Tenorite"/>
          <w:b/>
        </w:rPr>
      </w:pPr>
      <w:r w:rsidRPr="006417DA">
        <w:rPr>
          <w:rFonts w:ascii="Tenorite" w:hAnsi="Tenorite"/>
          <w:b/>
          <w:color w:val="833C0B" w:themeColor="accent2" w:themeShade="80"/>
          <w:sz w:val="24"/>
          <w:szCs w:val="24"/>
        </w:rPr>
        <w:t xml:space="preserve">HUILES ET CORPS GRAS </w:t>
      </w:r>
      <w:r w:rsidRPr="006417DA">
        <w:rPr>
          <w:rFonts w:ascii="Tenorite" w:hAnsi="Tenorite"/>
          <w:b/>
        </w:rPr>
        <w:t xml:space="preserve"> </w:t>
      </w:r>
    </w:p>
    <w:p w14:paraId="6541BAAC" w14:textId="66E52376" w:rsidR="00E464D9" w:rsidRPr="006417DA" w:rsidRDefault="00E464D9" w:rsidP="006417DA">
      <w:pPr>
        <w:spacing w:after="0" w:line="240" w:lineRule="auto"/>
        <w:ind w:left="142" w:right="-284"/>
        <w:rPr>
          <w:rFonts w:ascii="Tenorite" w:hAnsi="Tenorite"/>
          <w:color w:val="C45911" w:themeColor="accent2" w:themeShade="BF"/>
          <w:sz w:val="20"/>
          <w:szCs w:val="18"/>
        </w:rPr>
      </w:pPr>
      <w:r w:rsidRPr="006417DA">
        <w:rPr>
          <w:rFonts w:ascii="Tenorite" w:hAnsi="Tenorite"/>
          <w:color w:val="C45911" w:themeColor="accent2" w:themeShade="BF"/>
          <w:sz w:val="20"/>
          <w:szCs w:val="18"/>
        </w:rPr>
        <w:t>Huiles et graisses</w:t>
      </w:r>
    </w:p>
    <w:bookmarkStart w:id="5" w:name="_Hlk195280555"/>
    <w:p w14:paraId="2D7A012F" w14:textId="77777777" w:rsidR="001767C2" w:rsidRPr="005F3B46" w:rsidRDefault="001767C2" w:rsidP="005F3B46">
      <w:pPr>
        <w:shd w:val="clear" w:color="auto" w:fill="FFFFFF"/>
        <w:spacing w:after="0" w:line="240" w:lineRule="auto"/>
        <w:ind w:left="142"/>
        <w:jc w:val="both"/>
        <w:rPr>
          <w:rFonts w:ascii="Tenorite" w:hAnsi="Tenorite"/>
          <w:sz w:val="20"/>
          <w:szCs w:val="20"/>
        </w:rPr>
      </w:pPr>
      <w:r w:rsidRPr="005F3B46">
        <w:rPr>
          <w:rFonts w:ascii="Tenorite" w:hAnsi="Tenorite" w:cs="Arial"/>
          <w:color w:val="3C3C3C"/>
          <w:sz w:val="20"/>
          <w:szCs w:val="20"/>
        </w:rPr>
        <w:fldChar w:fldCharType="begin"/>
      </w:r>
      <w:r w:rsidRPr="005F3B46">
        <w:rPr>
          <w:rFonts w:ascii="Tenorite" w:hAnsi="Tenorite" w:cs="Arial"/>
          <w:color w:val="3C3C3C"/>
          <w:sz w:val="20"/>
          <w:szCs w:val="20"/>
        </w:rPr>
        <w:instrText>HYPERLINK "https://www.anses.fr/fr/system/files/ERCA2023SA0132.pdf"</w:instrText>
      </w:r>
      <w:r w:rsidRPr="005F3B46">
        <w:rPr>
          <w:rFonts w:ascii="Tenorite" w:hAnsi="Tenorite" w:cs="Arial"/>
          <w:color w:val="3C3C3C"/>
          <w:sz w:val="20"/>
          <w:szCs w:val="20"/>
        </w:rPr>
      </w:r>
      <w:r w:rsidRPr="005F3B46">
        <w:rPr>
          <w:rFonts w:ascii="Tenorite" w:hAnsi="Tenorite" w:cs="Arial"/>
          <w:color w:val="3C3C3C"/>
          <w:sz w:val="20"/>
          <w:szCs w:val="20"/>
        </w:rPr>
        <w:fldChar w:fldCharType="separate"/>
      </w:r>
      <w:r w:rsidRPr="005F3B46">
        <w:rPr>
          <w:rStyle w:val="Lienhypertexte"/>
          <w:rFonts w:ascii="Tenorite" w:hAnsi="Tenorite" w:cs="Arial"/>
          <w:sz w:val="20"/>
          <w:szCs w:val="20"/>
        </w:rPr>
        <w:t>Note</w:t>
      </w:r>
      <w:r w:rsidRPr="005F3B46">
        <w:rPr>
          <w:rFonts w:ascii="Tenorite" w:hAnsi="Tenorite" w:cs="Arial"/>
          <w:color w:val="3C3C3C"/>
          <w:sz w:val="20"/>
          <w:szCs w:val="20"/>
        </w:rPr>
        <w:fldChar w:fldCharType="end"/>
      </w:r>
      <w:r w:rsidRPr="005F3B46">
        <w:rPr>
          <w:rFonts w:ascii="Tenorite" w:hAnsi="Tenorite" w:cs="Arial"/>
          <w:color w:val="3C3C3C"/>
          <w:sz w:val="20"/>
          <w:szCs w:val="20"/>
        </w:rPr>
        <w:t xml:space="preserve"> d'appui scientifique et technique relative à la dangerosité liée à l’oxydation des graisses de palmipèdes ne respectant pas les dispositions du règlement (CE) n°853/2004, annexe III, section XII</w:t>
      </w:r>
      <w:bookmarkEnd w:id="5"/>
      <w:r w:rsidRPr="005F3B46">
        <w:rPr>
          <w:rFonts w:ascii="Tenorite" w:hAnsi="Tenorite" w:cs="Arial"/>
          <w:color w:val="3C3C3C"/>
          <w:sz w:val="20"/>
          <w:szCs w:val="20"/>
        </w:rPr>
        <w:t xml:space="preserve"> – avis signé le 31/01/2025</w:t>
      </w:r>
    </w:p>
    <w:p w14:paraId="7CAA5489" w14:textId="77777777" w:rsidR="001767C2" w:rsidRPr="006417DA" w:rsidRDefault="001767C2" w:rsidP="006417DA">
      <w:pPr>
        <w:spacing w:after="0" w:line="240" w:lineRule="auto"/>
        <w:ind w:left="142" w:right="-284"/>
        <w:rPr>
          <w:rFonts w:ascii="Tenorite" w:hAnsi="Tenorite"/>
          <w:color w:val="C45911" w:themeColor="accent2" w:themeShade="BF"/>
          <w:sz w:val="20"/>
          <w:szCs w:val="18"/>
        </w:rPr>
      </w:pPr>
    </w:p>
    <w:p w14:paraId="7CCFE82A" w14:textId="77777777" w:rsidR="00D025D4" w:rsidRPr="006417DA" w:rsidRDefault="00D025D4" w:rsidP="006417DA">
      <w:pPr>
        <w:shd w:val="clear" w:color="auto" w:fill="D9D9D9" w:themeFill="background1" w:themeFillShade="D9"/>
        <w:spacing w:after="0" w:line="240" w:lineRule="auto"/>
        <w:ind w:left="142"/>
        <w:rPr>
          <w:rFonts w:ascii="Tenorite" w:hAnsi="Tenorite"/>
          <w:b/>
        </w:rPr>
      </w:pPr>
      <w:r w:rsidRPr="006417DA">
        <w:rPr>
          <w:rFonts w:ascii="Tenorite" w:hAnsi="Tenorite"/>
          <w:b/>
          <w:color w:val="833C0B" w:themeColor="accent2" w:themeShade="80"/>
          <w:sz w:val="24"/>
          <w:szCs w:val="24"/>
        </w:rPr>
        <w:t>LAITS ET PRODUITS LAITIERS</w:t>
      </w:r>
      <w:r w:rsidRPr="006417DA">
        <w:rPr>
          <w:rFonts w:ascii="Tenorite" w:hAnsi="Tenorite"/>
          <w:b/>
        </w:rPr>
        <w:t xml:space="preserve"> </w:t>
      </w:r>
    </w:p>
    <w:p w14:paraId="4F0A9628" w14:textId="5AD54E95" w:rsidR="00D025D4" w:rsidRPr="006417DA" w:rsidRDefault="00D025D4" w:rsidP="006417DA">
      <w:pPr>
        <w:spacing w:after="0" w:line="240" w:lineRule="auto"/>
        <w:ind w:left="142"/>
        <w:rPr>
          <w:rFonts w:ascii="Tenorite" w:hAnsi="Tenorite"/>
          <w:color w:val="C45911" w:themeColor="accent2" w:themeShade="BF"/>
          <w:sz w:val="20"/>
          <w:szCs w:val="18"/>
        </w:rPr>
      </w:pPr>
      <w:r w:rsidRPr="006417DA">
        <w:rPr>
          <w:rFonts w:ascii="Tenorite" w:hAnsi="Tenorite"/>
          <w:color w:val="C45911" w:themeColor="accent2" w:themeShade="BF"/>
          <w:sz w:val="20"/>
          <w:szCs w:val="18"/>
        </w:rPr>
        <w:t>Beurre</w:t>
      </w:r>
      <w:r w:rsidRPr="006417DA">
        <w:rPr>
          <w:rFonts w:ascii="Tenorite" w:hAnsi="Tenorite"/>
          <w:color w:val="C45911" w:themeColor="accent2" w:themeShade="BF"/>
          <w:sz w:val="20"/>
          <w:szCs w:val="18"/>
        </w:rPr>
        <w:tab/>
      </w:r>
      <w:r w:rsidR="009E6EA2">
        <w:rPr>
          <w:rFonts w:ascii="Tenorite" w:hAnsi="Tenorite"/>
          <w:color w:val="C45911" w:themeColor="accent2" w:themeShade="BF"/>
          <w:sz w:val="20"/>
          <w:szCs w:val="18"/>
        </w:rPr>
        <w:t xml:space="preserve"> /</w:t>
      </w:r>
    </w:p>
    <w:p w14:paraId="08F43676" w14:textId="2F21C279" w:rsidR="00D025D4" w:rsidRPr="006417DA" w:rsidRDefault="00D025D4" w:rsidP="006417DA">
      <w:pPr>
        <w:spacing w:after="0" w:line="240" w:lineRule="auto"/>
        <w:ind w:left="142"/>
        <w:rPr>
          <w:rFonts w:ascii="Tenorite" w:hAnsi="Tenorite"/>
          <w:color w:val="C45911" w:themeColor="accent2" w:themeShade="BF"/>
          <w:sz w:val="20"/>
          <w:szCs w:val="18"/>
        </w:rPr>
      </w:pPr>
      <w:r w:rsidRPr="006417DA">
        <w:rPr>
          <w:rFonts w:ascii="Tenorite" w:hAnsi="Tenorite"/>
          <w:color w:val="C45911" w:themeColor="accent2" w:themeShade="BF"/>
          <w:sz w:val="20"/>
          <w:szCs w:val="18"/>
        </w:rPr>
        <w:t>Lait</w:t>
      </w:r>
      <w:r w:rsidR="0012180A" w:rsidRPr="006417DA">
        <w:rPr>
          <w:rFonts w:ascii="Tenorite" w:hAnsi="Tenorite"/>
          <w:color w:val="C45911" w:themeColor="accent2" w:themeShade="BF"/>
          <w:sz w:val="20"/>
          <w:szCs w:val="18"/>
        </w:rPr>
        <w:t>, produits laitiers</w:t>
      </w:r>
      <w:r w:rsidR="009E6EA2">
        <w:rPr>
          <w:rFonts w:ascii="Tenorite" w:hAnsi="Tenorite"/>
          <w:color w:val="C45911" w:themeColor="accent2" w:themeShade="BF"/>
          <w:sz w:val="20"/>
          <w:szCs w:val="18"/>
        </w:rPr>
        <w:t xml:space="preserve"> /</w:t>
      </w:r>
    </w:p>
    <w:p w14:paraId="1BD9FE19" w14:textId="374508FE" w:rsidR="0012180A" w:rsidRPr="006417DA" w:rsidRDefault="0012180A" w:rsidP="006417DA">
      <w:pPr>
        <w:spacing w:after="0" w:line="240" w:lineRule="auto"/>
        <w:ind w:left="142"/>
        <w:rPr>
          <w:rFonts w:ascii="Tenorite" w:hAnsi="Tenorite"/>
          <w:color w:val="C45911" w:themeColor="accent2" w:themeShade="BF"/>
          <w:sz w:val="20"/>
          <w:szCs w:val="18"/>
        </w:rPr>
      </w:pPr>
      <w:r w:rsidRPr="006417DA">
        <w:rPr>
          <w:rFonts w:ascii="Tenorite" w:hAnsi="Tenorite"/>
          <w:color w:val="C45911" w:themeColor="accent2" w:themeShade="BF"/>
          <w:sz w:val="20"/>
          <w:szCs w:val="18"/>
        </w:rPr>
        <w:t>Signes officiels de qualité</w:t>
      </w:r>
      <w:r w:rsidR="009E6EA2">
        <w:rPr>
          <w:rFonts w:ascii="Tenorite" w:hAnsi="Tenorite"/>
          <w:color w:val="C45911" w:themeColor="accent2" w:themeShade="BF"/>
          <w:sz w:val="20"/>
          <w:szCs w:val="18"/>
        </w:rPr>
        <w:t xml:space="preserve"> /</w:t>
      </w:r>
    </w:p>
    <w:p w14:paraId="11C10A0F" w14:textId="77777777" w:rsidR="00B33ECA" w:rsidRPr="005F3B46" w:rsidRDefault="00B33ECA" w:rsidP="005F3B46">
      <w:pPr>
        <w:spacing w:after="0" w:line="240" w:lineRule="auto"/>
        <w:ind w:left="142"/>
        <w:jc w:val="both"/>
        <w:rPr>
          <w:rFonts w:ascii="Tenorite" w:hAnsi="Tenorite"/>
          <w:color w:val="C45911" w:themeColor="accent2" w:themeShade="BF"/>
          <w:sz w:val="20"/>
          <w:szCs w:val="20"/>
        </w:rPr>
      </w:pPr>
    </w:p>
    <w:p w14:paraId="14F5C586" w14:textId="77777777" w:rsidR="00D025D4" w:rsidRPr="006417DA" w:rsidRDefault="00D025D4" w:rsidP="006417DA">
      <w:pPr>
        <w:shd w:val="clear" w:color="auto" w:fill="D9D9D9" w:themeFill="background1" w:themeFillShade="D9"/>
        <w:spacing w:after="0" w:line="240" w:lineRule="auto"/>
        <w:ind w:left="142"/>
        <w:rPr>
          <w:rFonts w:ascii="Tenorite" w:hAnsi="Tenorite"/>
          <w:b/>
          <w:color w:val="833C0B" w:themeColor="accent2" w:themeShade="80"/>
          <w:sz w:val="24"/>
          <w:szCs w:val="24"/>
        </w:rPr>
      </w:pPr>
      <w:r w:rsidRPr="006417DA">
        <w:rPr>
          <w:rFonts w:ascii="Tenorite" w:hAnsi="Tenorite"/>
          <w:b/>
          <w:color w:val="833C0B" w:themeColor="accent2" w:themeShade="80"/>
          <w:sz w:val="24"/>
          <w:szCs w:val="24"/>
        </w:rPr>
        <w:t xml:space="preserve">ŒUFS ET OVOPRODUITS </w:t>
      </w:r>
    </w:p>
    <w:p w14:paraId="33A76140" w14:textId="5FC92FCF" w:rsidR="00D025D4" w:rsidRPr="006417DA" w:rsidRDefault="00E464D9" w:rsidP="006417DA">
      <w:pPr>
        <w:spacing w:after="0" w:line="240" w:lineRule="auto"/>
        <w:ind w:left="142"/>
        <w:rPr>
          <w:rFonts w:ascii="Tenorite" w:hAnsi="Tenorite"/>
          <w:color w:val="C45911" w:themeColor="accent2" w:themeShade="BF"/>
          <w:sz w:val="20"/>
          <w:szCs w:val="18"/>
        </w:rPr>
      </w:pPr>
      <w:r w:rsidRPr="006417DA">
        <w:rPr>
          <w:rFonts w:ascii="Tenorite" w:hAnsi="Tenorite"/>
          <w:color w:val="C45911" w:themeColor="accent2" w:themeShade="BF"/>
          <w:sz w:val="20"/>
          <w:szCs w:val="18"/>
        </w:rPr>
        <w:t>Généralités</w:t>
      </w:r>
      <w:r w:rsidR="009E6EA2">
        <w:rPr>
          <w:rFonts w:ascii="Tenorite" w:hAnsi="Tenorite"/>
          <w:color w:val="C45911" w:themeColor="accent2" w:themeShade="BF"/>
          <w:sz w:val="20"/>
          <w:szCs w:val="18"/>
        </w:rPr>
        <w:t xml:space="preserve"> /</w:t>
      </w:r>
    </w:p>
    <w:p w14:paraId="4398C179" w14:textId="77777777" w:rsidR="0012180A" w:rsidRPr="006417DA" w:rsidRDefault="0012180A" w:rsidP="006417DA">
      <w:pPr>
        <w:spacing w:after="0" w:line="240" w:lineRule="auto"/>
        <w:ind w:left="142"/>
        <w:rPr>
          <w:rFonts w:ascii="Tenorite" w:hAnsi="Tenorite"/>
          <w:color w:val="C45911" w:themeColor="accent2" w:themeShade="BF"/>
          <w:sz w:val="20"/>
          <w:szCs w:val="18"/>
        </w:rPr>
      </w:pPr>
      <w:r w:rsidRPr="006417DA">
        <w:rPr>
          <w:rFonts w:ascii="Tenorite" w:hAnsi="Tenorite"/>
          <w:color w:val="C45911" w:themeColor="accent2" w:themeShade="BF"/>
          <w:sz w:val="20"/>
          <w:szCs w:val="18"/>
        </w:rPr>
        <w:t>Signes officiels de qualité</w:t>
      </w:r>
    </w:p>
    <w:bookmarkStart w:id="6" w:name="_Hlk194791453"/>
    <w:p w14:paraId="304C460F" w14:textId="77777777" w:rsidR="00B33ECA" w:rsidRPr="005F3B46" w:rsidRDefault="00B33ECA" w:rsidP="005F3B46">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5F3B46">
        <w:rPr>
          <w:rFonts w:ascii="Tenorite" w:eastAsia="Times New Roman" w:hAnsi="Tenorite" w:cs="Times New Roman"/>
          <w:b/>
          <w:bCs/>
          <w:color w:val="636363"/>
          <w:sz w:val="20"/>
          <w:szCs w:val="20"/>
          <w:lang w:eastAsia="fr-FR"/>
        </w:rPr>
        <w:fldChar w:fldCharType="begin"/>
      </w:r>
      <w:r w:rsidRPr="005F3B46">
        <w:rPr>
          <w:rFonts w:ascii="Tenorite" w:eastAsia="Times New Roman" w:hAnsi="Tenorite" w:cs="Times New Roman"/>
          <w:b/>
          <w:bCs/>
          <w:color w:val="636363"/>
          <w:sz w:val="20"/>
          <w:szCs w:val="20"/>
          <w:lang w:eastAsia="fr-FR"/>
        </w:rPr>
        <w:instrText>HYPERLINK "https://info.agriculture.gouv.fr/boagri/document_administratif-509fef88-2681-4cf0-a405-63b9c06eadd3"</w:instrText>
      </w:r>
      <w:r w:rsidRPr="005F3B46">
        <w:rPr>
          <w:rFonts w:ascii="Tenorite" w:eastAsia="Times New Roman" w:hAnsi="Tenorite" w:cs="Times New Roman"/>
          <w:b/>
          <w:bCs/>
          <w:color w:val="636363"/>
          <w:sz w:val="20"/>
          <w:szCs w:val="20"/>
          <w:lang w:eastAsia="fr-FR"/>
        </w:rPr>
      </w:r>
      <w:r w:rsidRPr="005F3B46">
        <w:rPr>
          <w:rFonts w:ascii="Tenorite" w:eastAsia="Times New Roman" w:hAnsi="Tenorite" w:cs="Times New Roman"/>
          <w:b/>
          <w:bCs/>
          <w:color w:val="636363"/>
          <w:sz w:val="20"/>
          <w:szCs w:val="20"/>
          <w:lang w:eastAsia="fr-FR"/>
        </w:rPr>
        <w:fldChar w:fldCharType="separate"/>
      </w:r>
      <w:r w:rsidRPr="005F3B46">
        <w:rPr>
          <w:rFonts w:ascii="Tenorite" w:eastAsia="Times New Roman" w:hAnsi="Tenorite" w:cs="Times New Roman"/>
          <w:b/>
          <w:bCs/>
          <w:color w:val="0088CC"/>
          <w:sz w:val="20"/>
          <w:szCs w:val="20"/>
          <w:u w:val="single"/>
          <w:lang w:eastAsia="fr-FR"/>
        </w:rPr>
        <w:t>Arrêté</w:t>
      </w:r>
      <w:r w:rsidRPr="005F3B46">
        <w:rPr>
          <w:rFonts w:ascii="Tenorite" w:eastAsia="Times New Roman" w:hAnsi="Tenorite" w:cs="Times New Roman"/>
          <w:b/>
          <w:bCs/>
          <w:color w:val="636363"/>
          <w:sz w:val="20"/>
          <w:szCs w:val="20"/>
          <w:lang w:eastAsia="fr-FR"/>
        </w:rPr>
        <w:fldChar w:fldCharType="end"/>
      </w:r>
      <w:bookmarkEnd w:id="6"/>
      <w:r w:rsidRPr="005F3B46">
        <w:rPr>
          <w:rFonts w:ascii="Tenorite" w:eastAsia="Times New Roman" w:hAnsi="Tenorite" w:cs="Times New Roman"/>
          <w:color w:val="636363"/>
          <w:sz w:val="20"/>
          <w:szCs w:val="20"/>
          <w:lang w:eastAsia="fr-FR"/>
        </w:rPr>
        <w:t> du 18-03-2025 - Arrêté du 18 mars 2025 fixant les conditions de production communes relatives à la production en label rouge « ŒUFS DE POULES ÉLEVÉES EN PLEIN AIR, EN COQUILLE OU LIQUIDES » « POULES FERMIÈRES ELEVÉES EN PLEIN AIR / LIBERTÉ » (DGPE)</w:t>
      </w:r>
    </w:p>
    <w:p w14:paraId="0136D9C0" w14:textId="77777777" w:rsidR="00B33ECA" w:rsidRPr="006417DA" w:rsidRDefault="00B33ECA" w:rsidP="006417DA">
      <w:pPr>
        <w:spacing w:after="0" w:line="240" w:lineRule="auto"/>
        <w:ind w:left="142"/>
        <w:rPr>
          <w:rFonts w:ascii="Tenorite" w:hAnsi="Tenorite"/>
          <w:color w:val="C45911" w:themeColor="accent2" w:themeShade="BF"/>
          <w:sz w:val="20"/>
          <w:szCs w:val="18"/>
        </w:rPr>
      </w:pPr>
    </w:p>
    <w:p w14:paraId="5B9F02A9" w14:textId="77777777" w:rsidR="00D025D4" w:rsidRPr="006417DA" w:rsidRDefault="00D025D4" w:rsidP="006417DA">
      <w:pPr>
        <w:shd w:val="clear" w:color="auto" w:fill="D9D9D9" w:themeFill="background1" w:themeFillShade="D9"/>
        <w:spacing w:after="0" w:line="240" w:lineRule="auto"/>
        <w:ind w:left="142"/>
        <w:rPr>
          <w:rFonts w:ascii="Tenorite" w:hAnsi="Tenorite"/>
          <w:b/>
          <w:color w:val="833C0B" w:themeColor="accent2" w:themeShade="80"/>
          <w:sz w:val="24"/>
          <w:szCs w:val="24"/>
        </w:rPr>
      </w:pPr>
      <w:r w:rsidRPr="006417DA">
        <w:rPr>
          <w:rFonts w:ascii="Tenorite" w:hAnsi="Tenorite"/>
          <w:b/>
          <w:color w:val="833C0B" w:themeColor="accent2" w:themeShade="80"/>
          <w:sz w:val="24"/>
          <w:szCs w:val="24"/>
        </w:rPr>
        <w:t xml:space="preserve">PRODUITS SUCRES </w:t>
      </w:r>
    </w:p>
    <w:p w14:paraId="7E35E821" w14:textId="095C1DEC" w:rsidR="00D025D4" w:rsidRPr="006417DA" w:rsidRDefault="00D025D4" w:rsidP="006417DA">
      <w:pPr>
        <w:spacing w:after="0" w:line="240" w:lineRule="auto"/>
        <w:ind w:left="142"/>
        <w:rPr>
          <w:rFonts w:ascii="Tenorite" w:hAnsi="Tenorite"/>
          <w:color w:val="C45911" w:themeColor="accent2" w:themeShade="BF"/>
          <w:sz w:val="20"/>
          <w:szCs w:val="18"/>
        </w:rPr>
      </w:pPr>
      <w:r w:rsidRPr="006417DA">
        <w:rPr>
          <w:rFonts w:ascii="Tenorite" w:hAnsi="Tenorite"/>
          <w:color w:val="C45911" w:themeColor="accent2" w:themeShade="BF"/>
          <w:sz w:val="20"/>
          <w:szCs w:val="18"/>
        </w:rPr>
        <w:t>Cacao et chocolat</w:t>
      </w:r>
      <w:r w:rsidR="009E6EA2">
        <w:rPr>
          <w:rFonts w:ascii="Tenorite" w:hAnsi="Tenorite"/>
          <w:color w:val="C45911" w:themeColor="accent2" w:themeShade="BF"/>
          <w:sz w:val="20"/>
          <w:szCs w:val="18"/>
        </w:rPr>
        <w:t xml:space="preserve"> /</w:t>
      </w:r>
    </w:p>
    <w:p w14:paraId="16EF5DD3" w14:textId="1DF7A255" w:rsidR="00D025D4" w:rsidRPr="006417DA" w:rsidRDefault="00D025D4" w:rsidP="006417DA">
      <w:pPr>
        <w:spacing w:after="0" w:line="240" w:lineRule="auto"/>
        <w:ind w:left="142"/>
        <w:rPr>
          <w:rFonts w:ascii="Tenorite" w:hAnsi="Tenorite"/>
          <w:color w:val="C45911" w:themeColor="accent2" w:themeShade="BF"/>
          <w:sz w:val="20"/>
          <w:szCs w:val="18"/>
        </w:rPr>
      </w:pPr>
      <w:r w:rsidRPr="006417DA">
        <w:rPr>
          <w:rFonts w:ascii="Tenorite" w:hAnsi="Tenorite"/>
          <w:color w:val="C45911" w:themeColor="accent2" w:themeShade="BF"/>
          <w:sz w:val="20"/>
          <w:szCs w:val="18"/>
        </w:rPr>
        <w:t>Confitures et compotes</w:t>
      </w:r>
      <w:r w:rsidR="009E6EA2">
        <w:rPr>
          <w:rFonts w:ascii="Tenorite" w:hAnsi="Tenorite"/>
          <w:color w:val="C45911" w:themeColor="accent2" w:themeShade="BF"/>
          <w:sz w:val="20"/>
          <w:szCs w:val="18"/>
        </w:rPr>
        <w:t xml:space="preserve"> /</w:t>
      </w:r>
    </w:p>
    <w:p w14:paraId="2BF906C4" w14:textId="7378E5C9" w:rsidR="00D025D4" w:rsidRDefault="00D025D4" w:rsidP="006417DA">
      <w:pPr>
        <w:spacing w:after="0" w:line="240" w:lineRule="auto"/>
        <w:ind w:left="142"/>
        <w:rPr>
          <w:rFonts w:ascii="Tenorite" w:hAnsi="Tenorite"/>
          <w:color w:val="C45911" w:themeColor="accent2" w:themeShade="BF"/>
          <w:sz w:val="20"/>
          <w:szCs w:val="18"/>
        </w:rPr>
      </w:pPr>
      <w:r w:rsidRPr="006417DA">
        <w:rPr>
          <w:rFonts w:ascii="Tenorite" w:hAnsi="Tenorite"/>
          <w:color w:val="C45911" w:themeColor="accent2" w:themeShade="BF"/>
          <w:sz w:val="20"/>
          <w:szCs w:val="18"/>
        </w:rPr>
        <w:t>Sucres</w:t>
      </w:r>
      <w:r w:rsidR="009E6EA2">
        <w:rPr>
          <w:rFonts w:ascii="Tenorite" w:hAnsi="Tenorite"/>
          <w:color w:val="C45911" w:themeColor="accent2" w:themeShade="BF"/>
          <w:sz w:val="20"/>
          <w:szCs w:val="18"/>
        </w:rPr>
        <w:t xml:space="preserve"> /</w:t>
      </w:r>
    </w:p>
    <w:p w14:paraId="25DAD1F1" w14:textId="77777777" w:rsidR="009E6EA2" w:rsidRPr="006417DA" w:rsidRDefault="009E6EA2" w:rsidP="006417DA">
      <w:pPr>
        <w:spacing w:after="0" w:line="240" w:lineRule="auto"/>
        <w:ind w:left="142"/>
        <w:rPr>
          <w:rFonts w:ascii="Tenorite" w:hAnsi="Tenorite"/>
          <w:color w:val="C45911" w:themeColor="accent2" w:themeShade="BF"/>
          <w:sz w:val="20"/>
          <w:szCs w:val="18"/>
        </w:rPr>
      </w:pPr>
    </w:p>
    <w:p w14:paraId="12B01DA5" w14:textId="77777777" w:rsidR="00D025D4" w:rsidRPr="006417DA" w:rsidRDefault="00D025D4" w:rsidP="006417DA">
      <w:pPr>
        <w:shd w:val="clear" w:color="auto" w:fill="D9D9D9" w:themeFill="background1" w:themeFillShade="D9"/>
        <w:spacing w:after="0" w:line="240" w:lineRule="auto"/>
        <w:ind w:left="142"/>
        <w:rPr>
          <w:rFonts w:ascii="Tenorite" w:hAnsi="Tenorite"/>
          <w:b/>
          <w:color w:val="833C0B" w:themeColor="accent2" w:themeShade="80"/>
          <w:sz w:val="24"/>
          <w:szCs w:val="24"/>
        </w:rPr>
      </w:pPr>
      <w:r w:rsidRPr="006417DA">
        <w:rPr>
          <w:rFonts w:ascii="Tenorite" w:hAnsi="Tenorite"/>
          <w:b/>
          <w:color w:val="833C0B" w:themeColor="accent2" w:themeShade="80"/>
          <w:sz w:val="24"/>
          <w:szCs w:val="24"/>
        </w:rPr>
        <w:t xml:space="preserve">VIANDES ET PRODUITS À BASE DE VIANDE </w:t>
      </w:r>
    </w:p>
    <w:p w14:paraId="1FEAE392" w14:textId="1CD6FDF9" w:rsidR="00D025D4" w:rsidRPr="006417DA" w:rsidRDefault="00D025D4" w:rsidP="006417DA">
      <w:pPr>
        <w:spacing w:after="0" w:line="240" w:lineRule="auto"/>
        <w:ind w:left="142"/>
        <w:rPr>
          <w:rFonts w:ascii="Tenorite" w:hAnsi="Tenorite"/>
          <w:color w:val="C45911" w:themeColor="accent2" w:themeShade="BF"/>
          <w:sz w:val="20"/>
          <w:szCs w:val="18"/>
        </w:rPr>
      </w:pPr>
      <w:r w:rsidRPr="006417DA">
        <w:rPr>
          <w:rFonts w:ascii="Tenorite" w:hAnsi="Tenorite"/>
          <w:color w:val="C45911" w:themeColor="accent2" w:themeShade="BF"/>
          <w:sz w:val="20"/>
          <w:szCs w:val="18"/>
        </w:rPr>
        <w:t>Maladies</w:t>
      </w:r>
    </w:p>
    <w:p w14:paraId="163E6C9E" w14:textId="1757BF87" w:rsidR="0066640A" w:rsidRPr="005F3B46" w:rsidRDefault="0066640A" w:rsidP="005F3B46">
      <w:pPr>
        <w:spacing w:after="0" w:line="240" w:lineRule="auto"/>
        <w:ind w:left="142"/>
        <w:jc w:val="both"/>
        <w:rPr>
          <w:rFonts w:ascii="Tenorite" w:hAnsi="Tenorite"/>
          <w:i/>
          <w:iCs/>
          <w:sz w:val="20"/>
          <w:szCs w:val="20"/>
        </w:rPr>
      </w:pPr>
      <w:r w:rsidRPr="005F3B46">
        <w:rPr>
          <w:rFonts w:ascii="Tenorite" w:hAnsi="Tenorite"/>
          <w:i/>
          <w:iCs/>
          <w:sz w:val="20"/>
          <w:szCs w:val="20"/>
        </w:rPr>
        <w:t>Maladies des Ovins, caprins</w:t>
      </w:r>
    </w:p>
    <w:p w14:paraId="3D94A0FF" w14:textId="77777777" w:rsidR="0066640A" w:rsidRDefault="0066640A" w:rsidP="005F3B46">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34" w:history="1">
        <w:r w:rsidRPr="005F3B46">
          <w:rPr>
            <w:rStyle w:val="Lienhypertexte"/>
            <w:rFonts w:ascii="Tenorite" w:eastAsia="Times New Roman" w:hAnsi="Tenorite" w:cs="Times New Roman"/>
            <w:sz w:val="20"/>
            <w:szCs w:val="20"/>
            <w:lang w:eastAsia="fr-FR"/>
          </w:rPr>
          <w:t>Décision</w:t>
        </w:r>
      </w:hyperlink>
      <w:r w:rsidRPr="005F3B46">
        <w:rPr>
          <w:rFonts w:ascii="Tenorite" w:eastAsia="Times New Roman" w:hAnsi="Tenorite" w:cs="Times New Roman"/>
          <w:color w:val="636363"/>
          <w:sz w:val="20"/>
          <w:szCs w:val="20"/>
          <w:lang w:eastAsia="fr-FR"/>
        </w:rPr>
        <w:t xml:space="preserve"> d’exécution (UE) 2025/497 de la Commission du 11 mars 2025 modifiant la décision d’exécution (UE) 2024/3238 concernant certaines mesures d’urgence relatives à l’infection par le virus de la peste des petits ruminants en Bulgarie (JOUE 14/03/2025)</w:t>
      </w:r>
    </w:p>
    <w:p w14:paraId="3EA71202" w14:textId="77777777" w:rsidR="005F3B46" w:rsidRPr="005F3B46" w:rsidRDefault="005F3B46" w:rsidP="005F3B46">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09F12A7C" w14:textId="77777777" w:rsidR="0066640A" w:rsidRDefault="0066640A" w:rsidP="005F3B46">
      <w:pPr>
        <w:shd w:val="clear" w:color="auto" w:fill="FFFFFF"/>
        <w:spacing w:after="0" w:line="240" w:lineRule="auto"/>
        <w:ind w:left="142"/>
        <w:jc w:val="both"/>
        <w:rPr>
          <w:rFonts w:ascii="Tenorite" w:hAnsi="Tenorite"/>
          <w:color w:val="333333"/>
          <w:sz w:val="20"/>
          <w:szCs w:val="20"/>
          <w:shd w:val="clear" w:color="auto" w:fill="FFFFFF"/>
        </w:rPr>
      </w:pPr>
      <w:hyperlink r:id="rId35" w:history="1">
        <w:r w:rsidRPr="005F3B46">
          <w:rPr>
            <w:rStyle w:val="Lienhypertexte"/>
            <w:rFonts w:ascii="Tenorite" w:hAnsi="Tenorite"/>
            <w:sz w:val="20"/>
            <w:szCs w:val="20"/>
            <w:shd w:val="clear" w:color="auto" w:fill="FFFFFF"/>
          </w:rPr>
          <w:t>Décision</w:t>
        </w:r>
      </w:hyperlink>
      <w:r w:rsidRPr="005F3B46">
        <w:rPr>
          <w:rFonts w:ascii="Tenorite" w:hAnsi="Tenorite"/>
          <w:color w:val="333333"/>
          <w:sz w:val="20"/>
          <w:szCs w:val="20"/>
          <w:shd w:val="clear" w:color="auto" w:fill="FFFFFF"/>
        </w:rPr>
        <w:t xml:space="preserve"> d’exécution (UE) 2025/640 de la Commission du 25 mars 2025 modifiant la décision d’exécution (UE) 2024/2207 concernant certaines mesures d’urgence relatives à la clavelée et à la variole caprine en Grèce (JOUE 28/03/2025)</w:t>
      </w:r>
    </w:p>
    <w:p w14:paraId="5988E1E8" w14:textId="77777777" w:rsidR="005F3B46" w:rsidRPr="005F3B46" w:rsidRDefault="005F3B46" w:rsidP="005F3B46">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03F79458" w14:textId="77777777" w:rsidR="0066640A" w:rsidRDefault="0066640A" w:rsidP="005F3B46">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36" w:history="1">
        <w:r w:rsidRPr="005F3B46">
          <w:rPr>
            <w:rStyle w:val="Lienhypertexte"/>
            <w:rFonts w:ascii="Tenorite" w:eastAsia="Times New Roman" w:hAnsi="Tenorite" w:cs="Times New Roman"/>
            <w:sz w:val="20"/>
            <w:szCs w:val="20"/>
            <w:lang w:eastAsia="fr-FR"/>
          </w:rPr>
          <w:t>Décision</w:t>
        </w:r>
      </w:hyperlink>
      <w:r w:rsidRPr="005F3B46">
        <w:rPr>
          <w:rFonts w:ascii="Tenorite" w:eastAsia="Times New Roman" w:hAnsi="Tenorite" w:cs="Times New Roman"/>
          <w:color w:val="636363"/>
          <w:sz w:val="20"/>
          <w:szCs w:val="20"/>
          <w:lang w:eastAsia="fr-FR"/>
        </w:rPr>
        <w:t xml:space="preserve"> d’exécution (UE) 2025/638 de la Commission du 25 mars 2025 concernant certaines mesures d’urgence relatives à l’infection par le virus de la peste des petits ruminants en Roumanie et abrogeant la décision d’exécution (UE) 2025/525 (JOUE 28/03/2025)</w:t>
      </w:r>
    </w:p>
    <w:p w14:paraId="49E57DB7" w14:textId="77777777" w:rsidR="005F3B46" w:rsidRPr="005F3B46" w:rsidRDefault="005F3B46" w:rsidP="005F3B46">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4B990672" w14:textId="797808C6" w:rsidR="0066640A" w:rsidRPr="005F3B46" w:rsidRDefault="0066640A" w:rsidP="005F3B46">
      <w:pPr>
        <w:spacing w:after="0" w:line="240" w:lineRule="auto"/>
        <w:ind w:left="142"/>
        <w:jc w:val="both"/>
        <w:rPr>
          <w:rFonts w:ascii="Tenorite" w:hAnsi="Tenorite"/>
          <w:i/>
          <w:iCs/>
          <w:sz w:val="20"/>
          <w:szCs w:val="20"/>
        </w:rPr>
      </w:pPr>
      <w:r w:rsidRPr="005F3B46">
        <w:rPr>
          <w:rFonts w:ascii="Tenorite" w:hAnsi="Tenorite"/>
          <w:i/>
          <w:iCs/>
          <w:sz w:val="20"/>
          <w:szCs w:val="20"/>
        </w:rPr>
        <w:t>Maladies des Porcins</w:t>
      </w:r>
    </w:p>
    <w:p w14:paraId="017D3501" w14:textId="77777777" w:rsidR="0066640A" w:rsidRDefault="0066640A" w:rsidP="005F3B46">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37" w:history="1">
        <w:r w:rsidRPr="005F3B46">
          <w:rPr>
            <w:rStyle w:val="Lienhypertexte"/>
            <w:rFonts w:ascii="Tenorite" w:eastAsia="Times New Roman" w:hAnsi="Tenorite" w:cs="Times New Roman"/>
            <w:sz w:val="20"/>
            <w:szCs w:val="20"/>
            <w:lang w:eastAsia="fr-FR"/>
          </w:rPr>
          <w:t>Règlement</w:t>
        </w:r>
      </w:hyperlink>
      <w:r w:rsidRPr="005F3B46">
        <w:rPr>
          <w:rFonts w:ascii="Tenorite" w:eastAsia="Times New Roman" w:hAnsi="Tenorite" w:cs="Times New Roman"/>
          <w:color w:val="636363"/>
          <w:sz w:val="20"/>
          <w:szCs w:val="20"/>
          <w:lang w:eastAsia="fr-FR"/>
        </w:rPr>
        <w:t xml:space="preserve"> d’exécution (UE) 2025/448 de la Commission du 28 février 2025 modifiant les annexes I et II du règlement d’exécution (UE) 2023/594 établissant des mesures spéciales de lutte contre la peste porcine africaine (JOUE 03/03/2025)</w:t>
      </w:r>
    </w:p>
    <w:p w14:paraId="2A57ACD0" w14:textId="77777777" w:rsidR="005F3B46" w:rsidRPr="005F3B46" w:rsidRDefault="005F3B46" w:rsidP="005F3B46">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3B672122" w14:textId="77777777" w:rsidR="0066640A" w:rsidRPr="005F3B46" w:rsidRDefault="0066640A" w:rsidP="005F3B46">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38" w:history="1">
        <w:r w:rsidRPr="005F3B46">
          <w:rPr>
            <w:rStyle w:val="Lienhypertexte"/>
            <w:rFonts w:ascii="Tenorite" w:eastAsia="Times New Roman" w:hAnsi="Tenorite" w:cs="Times New Roman"/>
            <w:sz w:val="20"/>
            <w:szCs w:val="20"/>
            <w:lang w:eastAsia="fr-FR"/>
          </w:rPr>
          <w:t>Règlement</w:t>
        </w:r>
      </w:hyperlink>
      <w:r w:rsidRPr="005F3B46">
        <w:rPr>
          <w:rFonts w:ascii="Tenorite" w:eastAsia="Times New Roman" w:hAnsi="Tenorite" w:cs="Times New Roman"/>
          <w:color w:val="636363"/>
          <w:sz w:val="20"/>
          <w:szCs w:val="20"/>
          <w:lang w:eastAsia="fr-FR"/>
        </w:rPr>
        <w:t xml:space="preserve"> d’exécution (UE) 2025/498 de la Commission du 11 mars 2025 modifiant l’annexe I du règlement d’exécution (UE) 2023/594 établissant des mesures spéciales de lutte contre la peste porcine africaine (JOUE 13/03/2025)</w:t>
      </w:r>
    </w:p>
    <w:p w14:paraId="6EEE17AE" w14:textId="77777777" w:rsidR="0066640A" w:rsidRPr="005F3B46" w:rsidRDefault="0066640A" w:rsidP="005F3B46">
      <w:pPr>
        <w:spacing w:after="0" w:line="240" w:lineRule="auto"/>
        <w:ind w:left="142"/>
        <w:jc w:val="both"/>
        <w:rPr>
          <w:rFonts w:ascii="Tenorite" w:hAnsi="Tenorite"/>
          <w:i/>
          <w:iCs/>
          <w:sz w:val="20"/>
          <w:szCs w:val="20"/>
        </w:rPr>
      </w:pPr>
    </w:p>
    <w:p w14:paraId="2AFA1CAB" w14:textId="0CF590B0" w:rsidR="0066640A" w:rsidRPr="005F3B46" w:rsidRDefault="0066640A" w:rsidP="005F3B46">
      <w:pPr>
        <w:spacing w:after="0" w:line="240" w:lineRule="auto"/>
        <w:ind w:left="142"/>
        <w:jc w:val="both"/>
        <w:rPr>
          <w:rFonts w:ascii="Tenorite" w:hAnsi="Tenorite"/>
          <w:i/>
          <w:iCs/>
          <w:sz w:val="20"/>
          <w:szCs w:val="20"/>
        </w:rPr>
      </w:pPr>
      <w:r w:rsidRPr="005F3B46">
        <w:rPr>
          <w:rFonts w:ascii="Tenorite" w:hAnsi="Tenorite"/>
          <w:i/>
          <w:iCs/>
          <w:sz w:val="20"/>
          <w:szCs w:val="20"/>
        </w:rPr>
        <w:t>Maladies des Volailles</w:t>
      </w:r>
    </w:p>
    <w:p w14:paraId="0F11AFF3" w14:textId="77777777" w:rsidR="0066640A" w:rsidRDefault="0066640A" w:rsidP="005F3B46">
      <w:pPr>
        <w:shd w:val="clear" w:color="auto" w:fill="FFFFFF"/>
        <w:spacing w:after="0" w:line="240" w:lineRule="auto"/>
        <w:ind w:left="142"/>
        <w:jc w:val="both"/>
        <w:rPr>
          <w:rFonts w:ascii="Tenorite" w:hAnsi="Tenorite"/>
          <w:sz w:val="20"/>
          <w:szCs w:val="20"/>
        </w:rPr>
      </w:pPr>
      <w:r w:rsidRPr="005F3B46">
        <w:rPr>
          <w:rFonts w:ascii="Tenorite" w:hAnsi="Tenorite"/>
          <w:b/>
          <w:bCs/>
          <w:sz w:val="20"/>
          <w:szCs w:val="20"/>
        </w:rPr>
        <w:t>Instruction technique </w:t>
      </w:r>
      <w:bookmarkStart w:id="7" w:name="_Hlk194791723"/>
      <w:r w:rsidRPr="005F3B46">
        <w:rPr>
          <w:rFonts w:ascii="Tenorite" w:hAnsi="Tenorite"/>
          <w:sz w:val="20"/>
          <w:szCs w:val="20"/>
        </w:rPr>
        <w:fldChar w:fldCharType="begin"/>
      </w:r>
      <w:r w:rsidRPr="005F3B46">
        <w:rPr>
          <w:rFonts w:ascii="Tenorite" w:hAnsi="Tenorite"/>
          <w:sz w:val="20"/>
          <w:szCs w:val="20"/>
        </w:rPr>
        <w:instrText>HYPERLINK "https://info.agriculture.gouv.fr/boagri/instruction-2025-160"</w:instrText>
      </w:r>
      <w:r w:rsidRPr="005F3B46">
        <w:rPr>
          <w:rFonts w:ascii="Tenorite" w:hAnsi="Tenorite"/>
          <w:sz w:val="20"/>
          <w:szCs w:val="20"/>
        </w:rPr>
      </w:r>
      <w:r w:rsidRPr="005F3B46">
        <w:rPr>
          <w:rFonts w:ascii="Tenorite" w:hAnsi="Tenorite"/>
          <w:sz w:val="20"/>
          <w:szCs w:val="20"/>
        </w:rPr>
        <w:fldChar w:fldCharType="separate"/>
      </w:r>
      <w:r w:rsidRPr="005F3B46">
        <w:rPr>
          <w:rStyle w:val="Lienhypertexte"/>
          <w:rFonts w:ascii="Tenorite" w:hAnsi="Tenorite"/>
          <w:sz w:val="20"/>
          <w:szCs w:val="20"/>
        </w:rPr>
        <w:t>DGAL/SDSBEA/2025-160</w:t>
      </w:r>
      <w:r w:rsidRPr="005F3B46">
        <w:rPr>
          <w:rFonts w:ascii="Tenorite" w:hAnsi="Tenorite"/>
          <w:sz w:val="20"/>
          <w:szCs w:val="20"/>
        </w:rPr>
        <w:fldChar w:fldCharType="end"/>
      </w:r>
      <w:bookmarkEnd w:id="7"/>
      <w:r w:rsidRPr="005F3B46">
        <w:rPr>
          <w:rFonts w:ascii="Tenorite" w:hAnsi="Tenorite"/>
          <w:sz w:val="20"/>
          <w:szCs w:val="20"/>
        </w:rPr>
        <w:t> du 14-03-2025 - Influenza aviaire (IA) - Programme de surveillance de l'Union européenne (Enquête annuelle IA) – Année 2025 (DGAL)</w:t>
      </w:r>
    </w:p>
    <w:p w14:paraId="4B828DF1" w14:textId="77777777" w:rsidR="005F3B46" w:rsidRPr="005F3B46" w:rsidRDefault="005F3B46" w:rsidP="005F3B46">
      <w:pPr>
        <w:shd w:val="clear" w:color="auto" w:fill="FFFFFF"/>
        <w:spacing w:after="0" w:line="240" w:lineRule="auto"/>
        <w:ind w:left="142"/>
        <w:jc w:val="both"/>
        <w:rPr>
          <w:rFonts w:ascii="Tenorite" w:hAnsi="Tenorite"/>
          <w:sz w:val="20"/>
          <w:szCs w:val="20"/>
        </w:rPr>
      </w:pPr>
    </w:p>
    <w:p w14:paraId="3497A6CA" w14:textId="77777777" w:rsidR="0066640A" w:rsidRPr="005F3B46" w:rsidRDefault="0066640A" w:rsidP="005F3B46">
      <w:pPr>
        <w:pStyle w:val="Textebrut"/>
        <w:ind w:left="142"/>
        <w:jc w:val="both"/>
        <w:rPr>
          <w:rFonts w:ascii="Tenorite" w:hAnsi="Tenorite"/>
          <w:sz w:val="20"/>
          <w:szCs w:val="20"/>
        </w:rPr>
      </w:pPr>
      <w:hyperlink r:id="rId39" w:history="1">
        <w:r w:rsidRPr="005F3B46">
          <w:rPr>
            <w:rStyle w:val="Lienhypertexte"/>
            <w:rFonts w:ascii="Tenorite" w:hAnsi="Tenorite"/>
            <w:sz w:val="20"/>
            <w:szCs w:val="20"/>
          </w:rPr>
          <w:t>Arrêté</w:t>
        </w:r>
      </w:hyperlink>
      <w:r w:rsidRPr="005F3B46">
        <w:rPr>
          <w:rFonts w:ascii="Tenorite" w:hAnsi="Tenorite"/>
          <w:sz w:val="20"/>
          <w:szCs w:val="20"/>
        </w:rPr>
        <w:t xml:space="preserve"> du 19 mars 2025 qualifiant le niveau de risque en matière d'influenza aviaire hautement pathogène (JORF 20/03/2025)</w:t>
      </w:r>
    </w:p>
    <w:p w14:paraId="38E65EFC" w14:textId="77777777" w:rsidR="0066640A" w:rsidRPr="005F3B46" w:rsidRDefault="0066640A" w:rsidP="005F3B46">
      <w:pPr>
        <w:pStyle w:val="Textebrut"/>
        <w:ind w:left="142"/>
        <w:jc w:val="both"/>
        <w:rPr>
          <w:rFonts w:ascii="Tenorite" w:hAnsi="Tenorite"/>
          <w:sz w:val="20"/>
          <w:szCs w:val="20"/>
        </w:rPr>
      </w:pPr>
    </w:p>
    <w:p w14:paraId="78D6CDF3" w14:textId="77777777" w:rsidR="0066640A" w:rsidRDefault="0066640A" w:rsidP="005F3B46">
      <w:pPr>
        <w:pStyle w:val="Textebrut"/>
        <w:ind w:left="142"/>
        <w:jc w:val="both"/>
        <w:rPr>
          <w:rFonts w:ascii="Tenorite" w:hAnsi="Tenorite"/>
          <w:sz w:val="20"/>
          <w:szCs w:val="20"/>
        </w:rPr>
      </w:pPr>
      <w:hyperlink r:id="rId40" w:history="1">
        <w:r w:rsidRPr="005F3B46">
          <w:rPr>
            <w:rStyle w:val="Lienhypertexte"/>
            <w:rFonts w:ascii="Tenorite" w:hAnsi="Tenorite"/>
            <w:sz w:val="20"/>
            <w:szCs w:val="20"/>
          </w:rPr>
          <w:t>Arrêté</w:t>
        </w:r>
      </w:hyperlink>
      <w:r w:rsidRPr="005F3B46">
        <w:rPr>
          <w:rFonts w:ascii="Tenorite" w:hAnsi="Tenorite"/>
          <w:sz w:val="20"/>
          <w:szCs w:val="20"/>
        </w:rPr>
        <w:t xml:space="preserve"> du 19 mars 2025 modifiant l'arrêté du 25 septembre 2023 relatif aux mesures de surveillance, de prévention, de lutte et de vaccination contre l'influenza aviaire hautement pathogène (IAHP) (JORF 20/03/2025)</w:t>
      </w:r>
    </w:p>
    <w:p w14:paraId="1DA25B0E" w14:textId="77777777" w:rsidR="005F3B46" w:rsidRPr="005F3B46" w:rsidRDefault="005F3B46" w:rsidP="005F3B46">
      <w:pPr>
        <w:pStyle w:val="Textebrut"/>
        <w:ind w:left="142"/>
        <w:jc w:val="both"/>
        <w:rPr>
          <w:rFonts w:ascii="Tenorite" w:hAnsi="Tenorite"/>
          <w:sz w:val="20"/>
          <w:szCs w:val="20"/>
        </w:rPr>
      </w:pPr>
    </w:p>
    <w:p w14:paraId="2AAEFB40" w14:textId="77777777" w:rsidR="005F3B46" w:rsidRDefault="0066640A" w:rsidP="005F3B46">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41" w:history="1">
        <w:r w:rsidRPr="005F3B46">
          <w:rPr>
            <w:rFonts w:ascii="Tenorite" w:eastAsia="Times New Roman" w:hAnsi="Tenorite" w:cs="Times New Roman"/>
            <w:b/>
            <w:bCs/>
            <w:color w:val="0088CC"/>
            <w:sz w:val="20"/>
            <w:szCs w:val="20"/>
            <w:u w:val="single"/>
            <w:lang w:eastAsia="fr-FR"/>
          </w:rPr>
          <w:t>Rectificatif</w:t>
        </w:r>
      </w:hyperlink>
      <w:r w:rsidRPr="005F3B46">
        <w:rPr>
          <w:rFonts w:ascii="Tenorite" w:eastAsia="Times New Roman" w:hAnsi="Tenorite" w:cs="Times New Roman"/>
          <w:color w:val="636363"/>
          <w:sz w:val="20"/>
          <w:szCs w:val="20"/>
          <w:lang w:eastAsia="fr-FR"/>
        </w:rPr>
        <w:t> du 26-03-2025 - Rectification de l'instruction technique DGAL/SDSBEA/2024-546 du 30/09/2024 - « Plan de vaccination officiel IAHP – Campagne de vaccination des canards - octobre 2024 » (DGAL)</w:t>
      </w:r>
    </w:p>
    <w:p w14:paraId="6DA25F7D" w14:textId="23800976" w:rsidR="003A504F" w:rsidRDefault="0066640A" w:rsidP="005F3B46">
      <w:pPr>
        <w:shd w:val="clear" w:color="auto" w:fill="FFFFFF"/>
        <w:spacing w:after="0" w:line="240" w:lineRule="auto"/>
        <w:ind w:left="142"/>
        <w:jc w:val="both"/>
      </w:pPr>
      <w:r w:rsidRPr="005F3B46">
        <w:rPr>
          <w:rFonts w:ascii="Tenorite" w:eastAsia="Times New Roman" w:hAnsi="Tenorite" w:cs="Times New Roman"/>
          <w:color w:val="636363"/>
          <w:sz w:val="20"/>
          <w:szCs w:val="20"/>
          <w:lang w:eastAsia="fr-FR"/>
        </w:rPr>
        <w:br/>
      </w:r>
    </w:p>
    <w:p w14:paraId="24A8AC7C" w14:textId="4C838C18" w:rsidR="0066640A" w:rsidRPr="005F3B46" w:rsidRDefault="0066640A" w:rsidP="005F3B46">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42" w:history="1">
        <w:r w:rsidRPr="005F3B46">
          <w:rPr>
            <w:rStyle w:val="Lienhypertexte"/>
            <w:rFonts w:ascii="Tenorite" w:eastAsia="Times New Roman" w:hAnsi="Tenorite" w:cs="Times New Roman"/>
            <w:sz w:val="20"/>
            <w:szCs w:val="20"/>
            <w:lang w:eastAsia="fr-FR"/>
          </w:rPr>
          <w:t>Décision</w:t>
        </w:r>
      </w:hyperlink>
      <w:r w:rsidRPr="005F3B46">
        <w:rPr>
          <w:rFonts w:ascii="Tenorite" w:eastAsia="Times New Roman" w:hAnsi="Tenorite" w:cs="Times New Roman"/>
          <w:color w:val="636363"/>
          <w:sz w:val="20"/>
          <w:szCs w:val="20"/>
          <w:lang w:eastAsia="fr-FR"/>
        </w:rPr>
        <w:t xml:space="preserve"> d’exécution (UE) 2025/540 de la Commission du 19 mars 2025 modifiant l’annexe de la décision d’exécution (UE) 2023/2447 concernant des mesures d’urgence motivées par l’apparition de foyers d’influenza aviaire hautement pathogène dans certains États membres (JOUE 24/03/2025)</w:t>
      </w:r>
    </w:p>
    <w:p w14:paraId="63A7CC66" w14:textId="75EDCF89" w:rsidR="0066640A" w:rsidRPr="005F3B46" w:rsidRDefault="0066640A" w:rsidP="005F3B46">
      <w:pPr>
        <w:shd w:val="clear" w:color="auto" w:fill="FFFFFF"/>
        <w:spacing w:after="0" w:line="240" w:lineRule="auto"/>
        <w:ind w:left="142"/>
        <w:jc w:val="both"/>
        <w:rPr>
          <w:rFonts w:ascii="Tenorite" w:hAnsi="Tenorite"/>
          <w:sz w:val="20"/>
          <w:szCs w:val="20"/>
        </w:rPr>
      </w:pPr>
    </w:p>
    <w:p w14:paraId="71AB1618" w14:textId="7268E9A1" w:rsidR="00D025D4" w:rsidRPr="006417DA" w:rsidRDefault="00D025D4" w:rsidP="006417DA">
      <w:pPr>
        <w:spacing w:after="0" w:line="240" w:lineRule="auto"/>
        <w:ind w:left="142"/>
        <w:rPr>
          <w:rFonts w:ascii="Tenorite" w:hAnsi="Tenorite"/>
          <w:color w:val="C45911" w:themeColor="accent2" w:themeShade="BF"/>
          <w:sz w:val="20"/>
          <w:szCs w:val="18"/>
        </w:rPr>
      </w:pPr>
      <w:r w:rsidRPr="006417DA">
        <w:rPr>
          <w:rFonts w:ascii="Tenorite" w:hAnsi="Tenorite"/>
          <w:color w:val="C45911" w:themeColor="accent2" w:themeShade="BF"/>
          <w:sz w:val="20"/>
          <w:szCs w:val="18"/>
        </w:rPr>
        <w:t>Produits à base de viande</w:t>
      </w:r>
      <w:r w:rsidR="009E6EA2">
        <w:rPr>
          <w:rFonts w:ascii="Tenorite" w:hAnsi="Tenorite"/>
          <w:color w:val="C45911" w:themeColor="accent2" w:themeShade="BF"/>
          <w:sz w:val="20"/>
          <w:szCs w:val="18"/>
        </w:rPr>
        <w:t xml:space="preserve"> /</w:t>
      </w:r>
    </w:p>
    <w:p w14:paraId="4B7B7C52" w14:textId="17B4210D" w:rsidR="00D025D4" w:rsidRPr="006417DA" w:rsidRDefault="00D025D4" w:rsidP="006417DA">
      <w:pPr>
        <w:spacing w:after="0" w:line="240" w:lineRule="auto"/>
        <w:ind w:left="142"/>
        <w:rPr>
          <w:rFonts w:ascii="Tenorite" w:hAnsi="Tenorite"/>
          <w:color w:val="C45911" w:themeColor="accent2" w:themeShade="BF"/>
          <w:sz w:val="20"/>
          <w:szCs w:val="18"/>
        </w:rPr>
      </w:pPr>
      <w:r w:rsidRPr="006417DA">
        <w:rPr>
          <w:rFonts w:ascii="Tenorite" w:hAnsi="Tenorite"/>
          <w:color w:val="C45911" w:themeColor="accent2" w:themeShade="BF"/>
          <w:sz w:val="20"/>
          <w:szCs w:val="18"/>
        </w:rPr>
        <w:t>Sécurité sanitaire</w:t>
      </w:r>
      <w:r w:rsidR="009E6EA2">
        <w:rPr>
          <w:rFonts w:ascii="Tenorite" w:hAnsi="Tenorite"/>
          <w:color w:val="C45911" w:themeColor="accent2" w:themeShade="BF"/>
          <w:sz w:val="20"/>
          <w:szCs w:val="18"/>
        </w:rPr>
        <w:t xml:space="preserve"> /</w:t>
      </w:r>
    </w:p>
    <w:p w14:paraId="3C68D160" w14:textId="77777777" w:rsidR="000C0DEF" w:rsidRPr="006417DA" w:rsidRDefault="000C0DEF" w:rsidP="006417DA">
      <w:pPr>
        <w:spacing w:after="0" w:line="240" w:lineRule="auto"/>
        <w:ind w:left="142"/>
        <w:rPr>
          <w:rFonts w:ascii="Tenorite" w:hAnsi="Tenorite"/>
        </w:rPr>
      </w:pPr>
    </w:p>
    <w:sectPr w:rsidR="000C0DEF" w:rsidRPr="006417DA" w:rsidSect="000C0DEF">
      <w:headerReference w:type="even" r:id="rId43"/>
      <w:headerReference w:type="default" r:id="rId44"/>
      <w:footerReference w:type="default" r:id="rId45"/>
      <w:headerReference w:type="first" r:id="rId46"/>
      <w:pgSz w:w="11906" w:h="16838"/>
      <w:pgMar w:top="1417" w:right="282" w:bottom="1417" w:left="426" w:header="284" w:footer="3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81C888" w14:textId="77777777" w:rsidR="000C0DEF" w:rsidRDefault="000C0DEF" w:rsidP="000C0DEF">
      <w:pPr>
        <w:spacing w:after="0" w:line="240" w:lineRule="auto"/>
      </w:pPr>
      <w:r>
        <w:separator/>
      </w:r>
    </w:p>
  </w:endnote>
  <w:endnote w:type="continuationSeparator" w:id="0">
    <w:p w14:paraId="14BE9002" w14:textId="77777777" w:rsidR="000C0DEF" w:rsidRDefault="000C0DEF" w:rsidP="000C0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enorite">
    <w:charset w:val="00"/>
    <w:family w:val="auto"/>
    <w:pitch w:val="variable"/>
    <w:sig w:usb0="80000003" w:usb1="00000001"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enorite" w:hAnsi="Tenorite"/>
      </w:rPr>
      <w:id w:val="270144275"/>
      <w:docPartObj>
        <w:docPartGallery w:val="Page Numbers (Bottom of Page)"/>
        <w:docPartUnique/>
      </w:docPartObj>
    </w:sdtPr>
    <w:sdtEndPr/>
    <w:sdtContent>
      <w:p w14:paraId="4E563226" w14:textId="5784EA0A" w:rsidR="000C0DEF" w:rsidRPr="003A504F" w:rsidRDefault="003A504F" w:rsidP="000C0DEF">
        <w:pPr>
          <w:pStyle w:val="Pieddepage"/>
          <w:ind w:right="141"/>
          <w:jc w:val="right"/>
          <w:rPr>
            <w:rFonts w:ascii="Tenorite" w:hAnsi="Tenorite"/>
          </w:rPr>
        </w:pPr>
        <w:r w:rsidRPr="003A504F">
          <w:rPr>
            <w:rFonts w:ascii="Tenorite" w:hAnsi="Tenorite"/>
          </w:rPr>
          <w:t xml:space="preserve">Page </w:t>
        </w:r>
        <w:r w:rsidRPr="003A504F">
          <w:rPr>
            <w:rFonts w:ascii="Tenorite" w:hAnsi="Tenorite"/>
            <w:b/>
            <w:bCs/>
          </w:rPr>
          <w:fldChar w:fldCharType="begin"/>
        </w:r>
        <w:r w:rsidRPr="003A504F">
          <w:rPr>
            <w:rFonts w:ascii="Tenorite" w:hAnsi="Tenorite"/>
            <w:b/>
            <w:bCs/>
          </w:rPr>
          <w:instrText>PAGE  \* Arabic  \* MERGEFORMAT</w:instrText>
        </w:r>
        <w:r w:rsidRPr="003A504F">
          <w:rPr>
            <w:rFonts w:ascii="Tenorite" w:hAnsi="Tenorite"/>
            <w:b/>
            <w:bCs/>
          </w:rPr>
          <w:fldChar w:fldCharType="separate"/>
        </w:r>
        <w:r w:rsidRPr="003A504F">
          <w:rPr>
            <w:rFonts w:ascii="Tenorite" w:hAnsi="Tenorite"/>
            <w:b/>
            <w:bCs/>
          </w:rPr>
          <w:t>1</w:t>
        </w:r>
        <w:r w:rsidRPr="003A504F">
          <w:rPr>
            <w:rFonts w:ascii="Tenorite" w:hAnsi="Tenorite"/>
            <w:b/>
            <w:bCs/>
          </w:rPr>
          <w:fldChar w:fldCharType="end"/>
        </w:r>
        <w:r w:rsidRPr="003A504F">
          <w:rPr>
            <w:rFonts w:ascii="Tenorite" w:hAnsi="Tenorite"/>
          </w:rPr>
          <w:t xml:space="preserve"> sur </w:t>
        </w:r>
        <w:r w:rsidRPr="003A504F">
          <w:rPr>
            <w:rFonts w:ascii="Tenorite" w:hAnsi="Tenorite"/>
            <w:b/>
            <w:bCs/>
          </w:rPr>
          <w:fldChar w:fldCharType="begin"/>
        </w:r>
        <w:r w:rsidRPr="003A504F">
          <w:rPr>
            <w:rFonts w:ascii="Tenorite" w:hAnsi="Tenorite"/>
            <w:b/>
            <w:bCs/>
          </w:rPr>
          <w:instrText>NUMPAGES  \* Arabic  \* MERGEFORMAT</w:instrText>
        </w:r>
        <w:r w:rsidRPr="003A504F">
          <w:rPr>
            <w:rFonts w:ascii="Tenorite" w:hAnsi="Tenorite"/>
            <w:b/>
            <w:bCs/>
          </w:rPr>
          <w:fldChar w:fldCharType="separate"/>
        </w:r>
        <w:r w:rsidRPr="003A504F">
          <w:rPr>
            <w:rFonts w:ascii="Tenorite" w:hAnsi="Tenorite"/>
            <w:b/>
            <w:bCs/>
          </w:rPr>
          <w:t>2</w:t>
        </w:r>
        <w:r w:rsidRPr="003A504F">
          <w:rPr>
            <w:rFonts w:ascii="Tenorite" w:hAnsi="Tenorite"/>
            <w:b/>
            <w:bCs/>
          </w:rPr>
          <w:fldChar w:fldCharType="end"/>
        </w:r>
      </w:p>
    </w:sdtContent>
  </w:sdt>
  <w:p w14:paraId="5BCEC587" w14:textId="3ABB0A81" w:rsidR="000C0DEF" w:rsidRDefault="000C0DEF" w:rsidP="000C0DEF">
    <w:pPr>
      <w:pStyle w:val="Pieddepage"/>
      <w:tabs>
        <w:tab w:val="clear" w:pos="4536"/>
        <w:tab w:val="clear" w:pos="9072"/>
        <w:tab w:val="left" w:pos="3210"/>
      </w:tabs>
      <w:ind w:right="1133"/>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5A0E76" w14:textId="77777777" w:rsidR="000C0DEF" w:rsidRDefault="000C0DEF" w:rsidP="000C0DEF">
      <w:pPr>
        <w:spacing w:after="0" w:line="240" w:lineRule="auto"/>
      </w:pPr>
      <w:r>
        <w:separator/>
      </w:r>
    </w:p>
  </w:footnote>
  <w:footnote w:type="continuationSeparator" w:id="0">
    <w:p w14:paraId="7155249D" w14:textId="77777777" w:rsidR="000C0DEF" w:rsidRDefault="000C0DEF" w:rsidP="000C0D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5FE77" w14:textId="77777777" w:rsidR="000C0DEF" w:rsidRDefault="00C970D8">
    <w:pPr>
      <w:pStyle w:val="En-tte"/>
    </w:pPr>
    <w:r>
      <w:rPr>
        <w:noProof/>
        <w:lang w:eastAsia="fr-FR"/>
      </w:rPr>
      <w:pict w14:anchorId="78F4B2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3" o:spid="_x0000_s2056" type="#_x0000_t75" style="position:absolute;margin-left:0;margin-top:0;width:559.55pt;height:387.35pt;z-index:-251650048;mso-position-horizontal:center;mso-position-horizontal-relative:margin;mso-position-vertical:center;mso-position-vertical-relative:margin" o:allowincell="f">
          <v:imagedata r:id="rId1" o:title="filigramme sourire FIP"/>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77297" w14:textId="0D5214DA" w:rsidR="000C0DEF" w:rsidRPr="000C0DEF" w:rsidRDefault="00B936EC" w:rsidP="005F3EA3">
    <w:pPr>
      <w:pStyle w:val="En-tte"/>
    </w:pPr>
    <w:r>
      <w:rPr>
        <w:rFonts w:ascii="Verdana" w:eastAsia="Times New Roman" w:hAnsi="Verdana" w:cs="Times New Roman"/>
        <w:noProof/>
        <w:sz w:val="20"/>
        <w:szCs w:val="20"/>
        <w:lang w:eastAsia="fr-FR"/>
      </w:rPr>
      <w:drawing>
        <wp:anchor distT="0" distB="0" distL="114300" distR="114300" simplePos="0" relativeHeight="251672576" behindDoc="0" locked="0" layoutInCell="1" allowOverlap="1" wp14:anchorId="62F5CA6F" wp14:editId="0A63FD43">
          <wp:simplePos x="0" y="0"/>
          <wp:positionH relativeFrom="column">
            <wp:posOffset>0</wp:posOffset>
          </wp:positionH>
          <wp:positionV relativeFrom="paragraph">
            <wp:posOffset>-635</wp:posOffset>
          </wp:positionV>
          <wp:extent cx="518287" cy="633039"/>
          <wp:effectExtent l="0" t="0" r="0" b="0"/>
          <wp:wrapNone/>
          <wp:docPr id="2006680919" name="Image 2006680919" descr="Une image contenant texte, Police, Graphiqu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 Police, Graphique, logo&#10;&#10;Description générée automatiquement"/>
                  <pic:cNvPicPr/>
                </pic:nvPicPr>
                <pic:blipFill>
                  <a:blip r:embed="rId1" cstate="print">
                    <a:extLst>
                      <a:ext uri="{28A0092B-C50C-407E-A947-70E740481C1C}">
                        <a14:useLocalDpi xmlns:a14="http://schemas.microsoft.com/office/drawing/2010/main" val="0"/>
                      </a:ext>
                    </a:extLst>
                  </a:blip>
                  <a:stretch>
                    <a:fillRect/>
                  </a:stretch>
                </pic:blipFill>
                <pic:spPr>
                  <a:xfrm>
                    <a:off x="0" y="0"/>
                    <a:ext cx="518287" cy="633039"/>
                  </a:xfrm>
                  <a:prstGeom prst="rect">
                    <a:avLst/>
                  </a:prstGeom>
                </pic:spPr>
              </pic:pic>
            </a:graphicData>
          </a:graphic>
          <wp14:sizeRelH relativeFrom="page">
            <wp14:pctWidth>0</wp14:pctWidth>
          </wp14:sizeRelH>
          <wp14:sizeRelV relativeFrom="page">
            <wp14:pctHeight>0</wp14:pctHeight>
          </wp14:sizeRelV>
        </wp:anchor>
      </w:drawing>
    </w:r>
    <w:r w:rsidR="00C970D8">
      <w:rPr>
        <w:noProof/>
        <w:lang w:eastAsia="fr-FR"/>
      </w:rPr>
      <w:pict w14:anchorId="5E80F6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4" o:spid="_x0000_s2057" type="#_x0000_t75" style="position:absolute;margin-left:0;margin-top:0;width:559.55pt;height:387.35pt;z-index:-251649024;mso-position-horizontal:center;mso-position-horizontal-relative:margin;mso-position-vertical:center;mso-position-vertical-relative:margin" o:allowincell="f">
          <v:imagedata r:id="rId2" o:title="filigramme sourire FIP"/>
          <w10:wrap anchorx="margin" anchory="margin"/>
        </v:shape>
      </w:pict>
    </w:r>
  </w:p>
  <w:p w14:paraId="0A0B9234" w14:textId="77777777" w:rsidR="00B936EC" w:rsidRDefault="00B936EC"/>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A6AD3F" w14:textId="77777777" w:rsidR="000C0DEF" w:rsidRDefault="00C970D8">
    <w:pPr>
      <w:pStyle w:val="En-tte"/>
    </w:pPr>
    <w:r>
      <w:rPr>
        <w:noProof/>
        <w:lang w:eastAsia="fr-FR"/>
      </w:rPr>
      <w:pict w14:anchorId="0C674F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2" o:spid="_x0000_s2055" type="#_x0000_t75" style="position:absolute;margin-left:0;margin-top:0;width:559.55pt;height:387.35pt;z-index:-251651072;mso-position-horizontal:center;mso-position-horizontal-relative:margin;mso-position-vertical:center;mso-position-vertical-relative:margin" o:allowincell="f">
          <v:imagedata r:id="rId1" o:title="filigramme sourire FIP"/>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0DEF"/>
    <w:rsid w:val="000C0DEF"/>
    <w:rsid w:val="0012180A"/>
    <w:rsid w:val="0013368A"/>
    <w:rsid w:val="001767C2"/>
    <w:rsid w:val="001B42BB"/>
    <w:rsid w:val="002B7CB6"/>
    <w:rsid w:val="002D342B"/>
    <w:rsid w:val="002F17D1"/>
    <w:rsid w:val="00345E87"/>
    <w:rsid w:val="0035740C"/>
    <w:rsid w:val="003A504F"/>
    <w:rsid w:val="005F3B46"/>
    <w:rsid w:val="005F3EA3"/>
    <w:rsid w:val="005F79C3"/>
    <w:rsid w:val="006417DA"/>
    <w:rsid w:val="0066640A"/>
    <w:rsid w:val="006B67DA"/>
    <w:rsid w:val="00767DBA"/>
    <w:rsid w:val="008B7919"/>
    <w:rsid w:val="00901715"/>
    <w:rsid w:val="00930E35"/>
    <w:rsid w:val="00980424"/>
    <w:rsid w:val="009E6EA2"/>
    <w:rsid w:val="00B33ECA"/>
    <w:rsid w:val="00B936EC"/>
    <w:rsid w:val="00BF1263"/>
    <w:rsid w:val="00BF7342"/>
    <w:rsid w:val="00C2622D"/>
    <w:rsid w:val="00C970D8"/>
    <w:rsid w:val="00D025D4"/>
    <w:rsid w:val="00DA32E4"/>
    <w:rsid w:val="00DD5421"/>
    <w:rsid w:val="00E464D9"/>
    <w:rsid w:val="00ED19FE"/>
    <w:rsid w:val="00FB67E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3C1EED49"/>
  <w15:chartTrackingRefBased/>
  <w15:docId w15:val="{2ED18064-B024-4767-9D3D-DD0107E5B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C0DE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3">
    <w:name w:val="heading 3"/>
    <w:basedOn w:val="Normal"/>
    <w:link w:val="Titre3Car"/>
    <w:uiPriority w:val="9"/>
    <w:unhideWhenUsed/>
    <w:qFormat/>
    <w:rsid w:val="000C0DE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C0DEF"/>
    <w:pPr>
      <w:tabs>
        <w:tab w:val="center" w:pos="4536"/>
        <w:tab w:val="right" w:pos="9072"/>
      </w:tabs>
      <w:spacing w:after="0" w:line="240" w:lineRule="auto"/>
    </w:pPr>
  </w:style>
  <w:style w:type="character" w:customStyle="1" w:styleId="En-tteCar">
    <w:name w:val="En-tête Car"/>
    <w:basedOn w:val="Policepardfaut"/>
    <w:link w:val="En-tte"/>
    <w:uiPriority w:val="99"/>
    <w:rsid w:val="000C0DEF"/>
  </w:style>
  <w:style w:type="paragraph" w:styleId="Pieddepage">
    <w:name w:val="footer"/>
    <w:basedOn w:val="Normal"/>
    <w:link w:val="PieddepageCar"/>
    <w:uiPriority w:val="99"/>
    <w:unhideWhenUsed/>
    <w:rsid w:val="000C0DE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C0DEF"/>
  </w:style>
  <w:style w:type="character" w:customStyle="1" w:styleId="Titre3Car">
    <w:name w:val="Titre 3 Car"/>
    <w:basedOn w:val="Policepardfaut"/>
    <w:link w:val="Titre3"/>
    <w:uiPriority w:val="9"/>
    <w:rsid w:val="000C0DEF"/>
    <w:rPr>
      <w:rFonts w:ascii="Times New Roman" w:eastAsia="Times New Roman" w:hAnsi="Times New Roman" w:cs="Times New Roman"/>
      <w:b/>
      <w:bCs/>
      <w:sz w:val="27"/>
      <w:szCs w:val="27"/>
      <w:lang w:eastAsia="fr-FR"/>
    </w:rPr>
  </w:style>
  <w:style w:type="character" w:customStyle="1" w:styleId="Titre1Car">
    <w:name w:val="Titre 1 Car"/>
    <w:basedOn w:val="Policepardfaut"/>
    <w:link w:val="Titre1"/>
    <w:uiPriority w:val="9"/>
    <w:rsid w:val="000C0DEF"/>
    <w:rPr>
      <w:rFonts w:asciiTheme="majorHAnsi" w:eastAsiaTheme="majorEastAsia" w:hAnsiTheme="majorHAnsi" w:cstheme="majorBidi"/>
      <w:color w:val="2E74B5" w:themeColor="accent1" w:themeShade="BF"/>
      <w:sz w:val="32"/>
      <w:szCs w:val="32"/>
    </w:rPr>
  </w:style>
  <w:style w:type="character" w:styleId="Lienhypertexte">
    <w:name w:val="Hyperlink"/>
    <w:unhideWhenUsed/>
    <w:rsid w:val="001767C2"/>
    <w:rPr>
      <w:strike w:val="0"/>
      <w:dstrike w:val="0"/>
      <w:color w:val="0000FF"/>
      <w:u w:val="none"/>
      <w:effect w:val="none"/>
    </w:rPr>
  </w:style>
  <w:style w:type="character" w:styleId="Lienhypertextesuivivisit">
    <w:name w:val="FollowedHyperlink"/>
    <w:basedOn w:val="Policepardfaut"/>
    <w:uiPriority w:val="99"/>
    <w:semiHidden/>
    <w:unhideWhenUsed/>
    <w:rsid w:val="001767C2"/>
    <w:rPr>
      <w:color w:val="954F72" w:themeColor="followedHyperlink"/>
      <w:u w:val="single"/>
    </w:rPr>
  </w:style>
  <w:style w:type="paragraph" w:styleId="Textebrut">
    <w:name w:val="Plain Text"/>
    <w:basedOn w:val="Normal"/>
    <w:link w:val="TextebrutCar"/>
    <w:uiPriority w:val="99"/>
    <w:unhideWhenUsed/>
    <w:rsid w:val="001767C2"/>
    <w:pPr>
      <w:spacing w:after="0" w:line="240" w:lineRule="auto"/>
    </w:pPr>
    <w:rPr>
      <w:rFonts w:ascii="Calibri" w:hAnsi="Calibri"/>
      <w:szCs w:val="21"/>
    </w:rPr>
  </w:style>
  <w:style w:type="character" w:customStyle="1" w:styleId="TextebrutCar">
    <w:name w:val="Texte brut Car"/>
    <w:basedOn w:val="Policepardfaut"/>
    <w:link w:val="Textebrut"/>
    <w:uiPriority w:val="99"/>
    <w:rsid w:val="001767C2"/>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ur-lex.europa.eu/legal-content/FR/TXT/PDF/?uri=OJ:L_202500457" TargetMode="External"/><Relationship Id="rId18" Type="http://schemas.openxmlformats.org/officeDocument/2006/relationships/hyperlink" Target="https://eur-lex.europa.eu/legal-content/FR/TXT/PDF/?uri=OJ:L_202500489" TargetMode="External"/><Relationship Id="rId26" Type="http://schemas.openxmlformats.org/officeDocument/2006/relationships/hyperlink" Target="https://www.anses.fr/sites/default/files/NUT2022SA0221.pdf" TargetMode="External"/><Relationship Id="rId39" Type="http://schemas.openxmlformats.org/officeDocument/2006/relationships/hyperlink" Target="https://www.legifrance.gouv.fr/jorf/id/JORFTEXT000051353251" TargetMode="External"/><Relationship Id="rId21" Type="http://schemas.openxmlformats.org/officeDocument/2006/relationships/hyperlink" Target="https://eur-lex.europa.eu/legal-content/FR/TXT/PDF/?uri=OJ:L_202500524" TargetMode="External"/><Relationship Id="rId34" Type="http://schemas.openxmlformats.org/officeDocument/2006/relationships/hyperlink" Target="https://eur-lex.europa.eu/legal-content/FR/TXT/PDF/?uri=OJ:L_202500497" TargetMode="External"/><Relationship Id="rId42" Type="http://schemas.openxmlformats.org/officeDocument/2006/relationships/hyperlink" Target="https://eur-lex.europa.eu/legal-content/FR/TXT/PDF/?uri=OJ:L_202500540" TargetMode="External"/><Relationship Id="rId47" Type="http://schemas.openxmlformats.org/officeDocument/2006/relationships/fontTable" Target="fontTable.xml"/><Relationship Id="rId7" Type="http://schemas.openxmlformats.org/officeDocument/2006/relationships/hyperlink" Target="https://info.agriculture.gouv.fr/boagri/instruction-2025-139" TargetMode="External"/><Relationship Id="rId2" Type="http://schemas.openxmlformats.org/officeDocument/2006/relationships/styles" Target="styles.xml"/><Relationship Id="rId16" Type="http://schemas.openxmlformats.org/officeDocument/2006/relationships/hyperlink" Target="https://eur-lex.europa.eu/legal-content/FR/TXT/PDF/?uri=OJ:L_202500483" TargetMode="External"/><Relationship Id="rId29" Type="http://schemas.openxmlformats.org/officeDocument/2006/relationships/hyperlink" Target="https://www.anses.fr/fr/system/files/BIOTECHS2024-SA-0163.pdf"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eur-lex.europa.eu/legal-content/FR/TXT/PDF/?uri=OJ:L_202500464" TargetMode="External"/><Relationship Id="rId24" Type="http://schemas.openxmlformats.org/officeDocument/2006/relationships/hyperlink" Target="https://www.plateforme-sca.fr/ndeg128-06-mars-2025" TargetMode="External"/><Relationship Id="rId32" Type="http://schemas.openxmlformats.org/officeDocument/2006/relationships/hyperlink" Target="https://info.agriculture.gouv.fr/boagri/document_administratif-7d8a96e1-4dfb-4d6a-8ef6-ae0f4abb9fe8" TargetMode="External"/><Relationship Id="rId37" Type="http://schemas.openxmlformats.org/officeDocument/2006/relationships/hyperlink" Target="https://eur-lex.europa.eu/legal-content/FR/TXT/PDF/?uri=OJ:L_202500448" TargetMode="External"/><Relationship Id="rId40" Type="http://schemas.openxmlformats.org/officeDocument/2006/relationships/hyperlink" Target="https://www.legifrance.gouv.fr/jorf/id/JORFTEXT000051353265" TargetMode="External"/><Relationship Id="rId45"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eur-lex.europa.eu/legal-content/FR/TXT/PDF/?uri=OJ:L_202500474" TargetMode="External"/><Relationship Id="rId23" Type="http://schemas.openxmlformats.org/officeDocument/2006/relationships/hyperlink" Target="https://eur-lex.europa.eu/legal-content/FR/TXT/PDF/?uri=OJ:L_202500581" TargetMode="External"/><Relationship Id="rId28" Type="http://schemas.openxmlformats.org/officeDocument/2006/relationships/hyperlink" Target="https://www.anses.fr/fr/system/files/PGM2023-SA-0112.pdf" TargetMode="External"/><Relationship Id="rId36" Type="http://schemas.openxmlformats.org/officeDocument/2006/relationships/hyperlink" Target="https://eur-lex.europa.eu/legal-content/FR/TXT/PDF/?uri=OJ:L_202500638" TargetMode="External"/><Relationship Id="rId10" Type="http://schemas.openxmlformats.org/officeDocument/2006/relationships/hyperlink" Target="https://eur-lex.europa.eu/legal-content/FR/TXT/PDF/?uri=OJ:L_202500450" TargetMode="External"/><Relationship Id="rId19" Type="http://schemas.openxmlformats.org/officeDocument/2006/relationships/hyperlink" Target="https://eur-lex.europa.eu/legal-content/FR/TXT/PDF/?uri=OJ:L_202500495" TargetMode="External"/><Relationship Id="rId31" Type="http://schemas.openxmlformats.org/officeDocument/2006/relationships/hyperlink" Target="https://www.legifrance.gouv.fr/jorf/id/JORFTEXT000051391697" TargetMode="External"/><Relationship Id="rId44"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eur-lex.europa.eu/legal-content/FR/TXT/PDF/?uri=OJ:L_202500444" TargetMode="External"/><Relationship Id="rId14" Type="http://schemas.openxmlformats.org/officeDocument/2006/relationships/hyperlink" Target="https://eur-lex.europa.eu/legal-content/FR/TXT/PDF/?uri=OJ:L_202500461" TargetMode="External"/><Relationship Id="rId22" Type="http://schemas.openxmlformats.org/officeDocument/2006/relationships/hyperlink" Target="https://info.agriculture.gouv.fr/boagri/instruction-2025-118" TargetMode="External"/><Relationship Id="rId27" Type="http://schemas.openxmlformats.org/officeDocument/2006/relationships/hyperlink" Target="https://knowledge4policy.ec.europa.eu/food-fraud-quality/monthly-food-fraud-summary-reports/publication/food-fraud-summary-february-2025" TargetMode="External"/><Relationship Id="rId30" Type="http://schemas.openxmlformats.org/officeDocument/2006/relationships/hyperlink" Target="https://eur-lex.europa.eu/legal-content/FR/TXT/PDF/?uri=OJ:L_202500452" TargetMode="External"/><Relationship Id="rId35" Type="http://schemas.openxmlformats.org/officeDocument/2006/relationships/hyperlink" Target="https://eur-lex.europa.eu/legal-content/FR/TXT/PDF/?uri=OJ:L_202500640" TargetMode="External"/><Relationship Id="rId43" Type="http://schemas.openxmlformats.org/officeDocument/2006/relationships/header" Target="header1.xml"/><Relationship Id="rId48" Type="http://schemas.openxmlformats.org/officeDocument/2006/relationships/theme" Target="theme/theme1.xml"/><Relationship Id="rId8" Type="http://schemas.openxmlformats.org/officeDocument/2006/relationships/hyperlink" Target="https://eur-lex.europa.eu/legal-content/FR/TXT/PDF/?uri=OJ:L_202500427" TargetMode="External"/><Relationship Id="rId3" Type="http://schemas.openxmlformats.org/officeDocument/2006/relationships/settings" Target="settings.xml"/><Relationship Id="rId12" Type="http://schemas.openxmlformats.org/officeDocument/2006/relationships/hyperlink" Target="https://eur-lex.europa.eu/legal-content/FR/TXT/PDF/?uri=OJ:L_202500455" TargetMode="External"/><Relationship Id="rId17" Type="http://schemas.openxmlformats.org/officeDocument/2006/relationships/hyperlink" Target="https://eur-lex.europa.eu/legal-content/FR/TXT/PDF/?uri=OJ:L_202500485" TargetMode="External"/><Relationship Id="rId25" Type="http://schemas.openxmlformats.org/officeDocument/2006/relationships/hyperlink" Target="https://www.plateforme-sca.fr/ndeg129-20-mars-2025" TargetMode="External"/><Relationship Id="rId33" Type="http://schemas.openxmlformats.org/officeDocument/2006/relationships/hyperlink" Target="https://eur-lex.europa.eu/legal-content/FR/TXT/PDF/?uri=OJ:L_202500439" TargetMode="External"/><Relationship Id="rId38" Type="http://schemas.openxmlformats.org/officeDocument/2006/relationships/hyperlink" Target="https://eur-lex.europa.eu/legal-content/FR/TXT/PDF/?uri=OJ:L_202500498" TargetMode="External"/><Relationship Id="rId46" Type="http://schemas.openxmlformats.org/officeDocument/2006/relationships/header" Target="header3.xml"/><Relationship Id="rId20" Type="http://schemas.openxmlformats.org/officeDocument/2006/relationships/hyperlink" Target="https://eur-lex.europa.eu/legal-content/FR/TXT/PDF/?uri=OJ:L_202500523" TargetMode="External"/><Relationship Id="rId41" Type="http://schemas.openxmlformats.org/officeDocument/2006/relationships/hyperlink" Target="https://info.agriculture.gouv.fr/boagri/rectificatif-dc470347-02c4-4bd4-a7b5-e06818866da9"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2F9048-52DE-4C9E-ACCF-03401F2D7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2641</Words>
  <Characters>14528</Characters>
  <Application>Microsoft Office Word</Application>
  <DocSecurity>0</DocSecurity>
  <Lines>121</Lines>
  <Paragraphs>34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levesque</dc:creator>
  <cp:keywords/>
  <dc:description/>
  <cp:lastModifiedBy>Denis GRIVET</cp:lastModifiedBy>
  <cp:revision>3</cp:revision>
  <dcterms:created xsi:type="dcterms:W3CDTF">2025-04-15T08:04:00Z</dcterms:created>
  <dcterms:modified xsi:type="dcterms:W3CDTF">2025-10-14T13:46:00Z</dcterms:modified>
</cp:coreProperties>
</file>