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253E39" w14:textId="6F7DE9FC" w:rsidR="00853D89" w:rsidRDefault="00853D89" w:rsidP="00853D89">
      <w:pPr>
        <w:spacing w:after="0" w:line="240" w:lineRule="auto"/>
        <w:jc w:val="center"/>
        <w:rPr>
          <w:rFonts w:ascii="Tenorite" w:hAnsi="Tenorite" w:cs="Tahoma"/>
          <w:b/>
          <w:color w:val="EF671A"/>
          <w:sz w:val="32"/>
          <w:szCs w:val="32"/>
          <w:u w:val="single"/>
        </w:rPr>
      </w:pPr>
      <w:r>
        <w:rPr>
          <w:rFonts w:ascii="Verdana" w:eastAsia="Times New Roman" w:hAnsi="Verdana" w:cs="Times New Roman"/>
          <w:noProof/>
          <w:sz w:val="20"/>
          <w:szCs w:val="20"/>
          <w:lang w:eastAsia="fr-FR"/>
        </w:rPr>
        <w:drawing>
          <wp:anchor distT="0" distB="0" distL="114300" distR="114300" simplePos="0" relativeHeight="251659264" behindDoc="0" locked="0" layoutInCell="1" allowOverlap="1" wp14:anchorId="4C866E4B" wp14:editId="30ACA399">
            <wp:simplePos x="0" y="0"/>
            <wp:positionH relativeFrom="margin">
              <wp:align>left</wp:align>
            </wp:positionH>
            <wp:positionV relativeFrom="paragraph">
              <wp:posOffset>-632460</wp:posOffset>
            </wp:positionV>
            <wp:extent cx="518287" cy="633039"/>
            <wp:effectExtent l="0" t="0" r="0" b="0"/>
            <wp:wrapNone/>
            <wp:docPr id="2006680919" name="Image 2006680919" descr="Une image contenant texte, Police, Graphique, logo&#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descr="Une image contenant texte, Police, Graphique, logo&#10;&#10;Description générée automatiquement"/>
                    <pic:cNvPicPr/>
                  </pic:nvPicPr>
                  <pic:blipFill>
                    <a:blip r:embed="rId7" cstate="print">
                      <a:extLst>
                        <a:ext uri="{28A0092B-C50C-407E-A947-70E740481C1C}">
                          <a14:useLocalDpi xmlns:a14="http://schemas.microsoft.com/office/drawing/2010/main" val="0"/>
                        </a:ext>
                      </a:extLst>
                    </a:blip>
                    <a:stretch>
                      <a:fillRect/>
                    </a:stretch>
                  </pic:blipFill>
                  <pic:spPr>
                    <a:xfrm>
                      <a:off x="0" y="0"/>
                      <a:ext cx="518287" cy="633039"/>
                    </a:xfrm>
                    <a:prstGeom prst="rect">
                      <a:avLst/>
                    </a:prstGeom>
                  </pic:spPr>
                </pic:pic>
              </a:graphicData>
            </a:graphic>
            <wp14:sizeRelH relativeFrom="page">
              <wp14:pctWidth>0</wp14:pctWidth>
            </wp14:sizeRelH>
            <wp14:sizeRelV relativeFrom="page">
              <wp14:pctHeight>0</wp14:pctHeight>
            </wp14:sizeRelV>
          </wp:anchor>
        </w:drawing>
      </w:r>
      <w:r>
        <w:rPr>
          <w:rFonts w:ascii="Tenorite" w:hAnsi="Tenorite" w:cs="Tahoma"/>
          <w:b/>
          <w:color w:val="EF671A"/>
          <w:sz w:val="32"/>
          <w:szCs w:val="32"/>
          <w:u w:val="single"/>
        </w:rPr>
        <w:t>BULLETIN DE VEILLE REGLEMENTAIRE</w:t>
      </w:r>
    </w:p>
    <w:p w14:paraId="56D102D2" w14:textId="6FE9B030" w:rsidR="00853D89" w:rsidRDefault="00853D89" w:rsidP="00853D89">
      <w:pPr>
        <w:spacing w:after="0" w:line="240" w:lineRule="auto"/>
        <w:jc w:val="center"/>
        <w:rPr>
          <w:rFonts w:ascii="Tenorite" w:hAnsi="Tenorite" w:cs="Tahoma"/>
          <w:b/>
          <w:color w:val="EF671A"/>
          <w:sz w:val="32"/>
          <w:szCs w:val="32"/>
          <w:u w:val="single"/>
        </w:rPr>
      </w:pPr>
      <w:r>
        <w:rPr>
          <w:rFonts w:ascii="Tenorite" w:hAnsi="Tenorite" w:cs="Tahoma"/>
          <w:b/>
          <w:color w:val="EF671A"/>
          <w:sz w:val="32"/>
          <w:szCs w:val="32"/>
          <w:u w:val="single"/>
        </w:rPr>
        <w:t>N° 4 – avril 2025</w:t>
      </w:r>
    </w:p>
    <w:p w14:paraId="2B6624A2" w14:textId="77777777" w:rsidR="00853D89" w:rsidRPr="00B936EC" w:rsidRDefault="00853D89" w:rsidP="00853D89">
      <w:pPr>
        <w:spacing w:after="0" w:line="240" w:lineRule="exact"/>
        <w:jc w:val="center"/>
        <w:rPr>
          <w:rFonts w:ascii="Tenorite" w:hAnsi="Tenorite" w:cs="Tahoma"/>
          <w:b/>
          <w:color w:val="EF671A"/>
          <w:u w:val="single"/>
        </w:rPr>
      </w:pPr>
    </w:p>
    <w:p w14:paraId="08981560" w14:textId="77777777" w:rsidR="00853D89" w:rsidRDefault="00853D89" w:rsidP="00853D89">
      <w:pPr>
        <w:spacing w:after="0" w:line="240" w:lineRule="exact"/>
        <w:jc w:val="center"/>
        <w:rPr>
          <w:rFonts w:ascii="Tenorite" w:hAnsi="Tenorite" w:cs="Tahoma"/>
          <w:b/>
          <w:sz w:val="32"/>
          <w:szCs w:val="32"/>
          <w:u w:val="single"/>
        </w:rPr>
      </w:pPr>
      <w:r w:rsidRPr="00B936EC">
        <w:rPr>
          <w:rFonts w:ascii="Tenorite" w:hAnsi="Tenorite" w:cs="Tahoma"/>
          <w:b/>
          <w:sz w:val="24"/>
          <w:szCs w:val="24"/>
          <w:u w:val="single"/>
        </w:rPr>
        <w:t>Sécurité des aliments et information du consommateur (France et Europe</w:t>
      </w:r>
      <w:r w:rsidRPr="00B936EC">
        <w:rPr>
          <w:rFonts w:ascii="Tenorite" w:hAnsi="Tenorite" w:cs="Tahoma"/>
          <w:b/>
          <w:sz w:val="32"/>
          <w:szCs w:val="32"/>
          <w:u w:val="single"/>
        </w:rPr>
        <w:t>)</w:t>
      </w:r>
    </w:p>
    <w:p w14:paraId="4D78B208" w14:textId="77777777" w:rsidR="00853D89" w:rsidRDefault="00853D89" w:rsidP="00853D89">
      <w:pPr>
        <w:spacing w:after="0" w:line="240" w:lineRule="exact"/>
        <w:jc w:val="center"/>
        <w:rPr>
          <w:rFonts w:ascii="Tenorite" w:hAnsi="Tenorite" w:cs="Tahoma"/>
          <w:b/>
          <w:sz w:val="32"/>
          <w:szCs w:val="32"/>
          <w:u w:val="single"/>
        </w:rPr>
      </w:pPr>
    </w:p>
    <w:p w14:paraId="2A52B28D" w14:textId="77777777" w:rsidR="00853D89" w:rsidRDefault="00853D89" w:rsidP="00853D89">
      <w:pPr>
        <w:spacing w:after="0" w:line="240" w:lineRule="exact"/>
        <w:jc w:val="center"/>
        <w:rPr>
          <w:rFonts w:ascii="Tenorite" w:hAnsi="Tenorite" w:cs="Tahoma"/>
          <w:b/>
          <w:sz w:val="32"/>
          <w:szCs w:val="32"/>
          <w:u w:val="single"/>
        </w:rPr>
      </w:pPr>
    </w:p>
    <w:p w14:paraId="4198964D" w14:textId="77777777" w:rsidR="00853D89" w:rsidRDefault="00853D89" w:rsidP="00853D89">
      <w:pPr>
        <w:spacing w:after="0" w:line="240" w:lineRule="exact"/>
        <w:jc w:val="center"/>
        <w:rPr>
          <w:rFonts w:ascii="Tenorite" w:hAnsi="Tenorite" w:cs="Tahoma"/>
          <w:b/>
          <w:color w:val="EF671A"/>
          <w:sz w:val="32"/>
          <w:szCs w:val="32"/>
          <w:u w:val="single"/>
        </w:rPr>
      </w:pPr>
      <w:r w:rsidRPr="005F3EA3">
        <w:rPr>
          <w:rFonts w:ascii="Tenorite" w:hAnsi="Tenorite" w:cs="Tahoma"/>
          <w:b/>
          <w:color w:val="EF671A"/>
          <w:sz w:val="32"/>
          <w:szCs w:val="32"/>
          <w:u w:val="single"/>
        </w:rPr>
        <w:t>Partie 1 : Règlementation générale</w:t>
      </w:r>
    </w:p>
    <w:p w14:paraId="796A7A67" w14:textId="77777777" w:rsidR="00853D89" w:rsidRDefault="00853D89" w:rsidP="003237C3">
      <w:pPr>
        <w:pStyle w:val="Textebrut"/>
        <w:ind w:left="142"/>
        <w:jc w:val="both"/>
      </w:pPr>
    </w:p>
    <w:p w14:paraId="54123913" w14:textId="7152328F" w:rsidR="003237C3" w:rsidRPr="00DB3853" w:rsidRDefault="003237C3" w:rsidP="00853D89">
      <w:pPr>
        <w:pStyle w:val="Textebrut"/>
        <w:ind w:left="142" w:right="141"/>
        <w:jc w:val="both"/>
        <w:rPr>
          <w:rFonts w:ascii="Tenorite" w:hAnsi="Tenorite"/>
          <w:sz w:val="20"/>
          <w:szCs w:val="20"/>
        </w:rPr>
      </w:pPr>
      <w:hyperlink r:id="rId8" w:history="1">
        <w:r w:rsidRPr="00DB3853">
          <w:rPr>
            <w:rStyle w:val="Lienhypertexte"/>
            <w:rFonts w:ascii="Tenorite" w:hAnsi="Tenorite"/>
            <w:sz w:val="20"/>
            <w:szCs w:val="20"/>
          </w:rPr>
          <w:t>LOI</w:t>
        </w:r>
      </w:hyperlink>
      <w:r w:rsidRPr="00DB3853">
        <w:rPr>
          <w:rFonts w:ascii="Tenorite" w:hAnsi="Tenorite"/>
          <w:sz w:val="20"/>
          <w:szCs w:val="20"/>
        </w:rPr>
        <w:t xml:space="preserve"> n° 2025-337 du 14 avril 2025 visant à renforcer la stabilité économique et la compétitivité du secteur agroalimentaire (1) (JORF 15/04/2025)</w:t>
      </w:r>
    </w:p>
    <w:p w14:paraId="4CEA5421" w14:textId="7C64E32A" w:rsidR="002B7CB6" w:rsidRPr="005F3EA3" w:rsidRDefault="002B7CB6"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 xml:space="preserve">ADDITIFS, </w:t>
      </w:r>
      <w:r w:rsidR="00767DBA">
        <w:rPr>
          <w:rFonts w:ascii="Tenorite" w:hAnsi="Tenorite"/>
          <w:b/>
          <w:color w:val="833C0B" w:themeColor="accent2" w:themeShade="80"/>
          <w:sz w:val="24"/>
        </w:rPr>
        <w:t>ET INGREDIENTS</w:t>
      </w:r>
    </w:p>
    <w:p w14:paraId="54AA4722" w14:textId="77777777" w:rsidR="002B7CB6" w:rsidRDefault="002B7CB6" w:rsidP="002B7CB6">
      <w:pPr>
        <w:spacing w:after="0" w:line="240" w:lineRule="auto"/>
        <w:ind w:left="284" w:hanging="142"/>
        <w:rPr>
          <w:rFonts w:ascii="Tenorite" w:hAnsi="Tenorite"/>
          <w:color w:val="C45911" w:themeColor="accent2" w:themeShade="BF"/>
          <w:sz w:val="20"/>
        </w:rPr>
      </w:pPr>
      <w:r w:rsidRPr="005F3EA3">
        <w:rPr>
          <w:rFonts w:ascii="Tenorite" w:hAnsi="Tenorite"/>
          <w:color w:val="C45911" w:themeColor="accent2" w:themeShade="BF"/>
          <w:sz w:val="20"/>
        </w:rPr>
        <w:t>Additifs</w:t>
      </w:r>
    </w:p>
    <w:p w14:paraId="3BABB8EA" w14:textId="77777777" w:rsidR="00E3404E" w:rsidRPr="004C2158" w:rsidRDefault="00E3404E" w:rsidP="00E3404E">
      <w:pPr>
        <w:shd w:val="clear" w:color="auto" w:fill="FFFFFF"/>
        <w:spacing w:after="0" w:line="240" w:lineRule="auto"/>
        <w:ind w:left="142"/>
        <w:jc w:val="both"/>
        <w:rPr>
          <w:rFonts w:ascii="Tenorite" w:eastAsia="Times New Roman" w:hAnsi="Tenorite" w:cs="Times New Roman"/>
          <w:sz w:val="20"/>
          <w:szCs w:val="20"/>
          <w:lang w:eastAsia="fr-FR"/>
        </w:rPr>
      </w:pPr>
      <w:hyperlink r:id="rId9" w:history="1">
        <w:r w:rsidRPr="004C2158">
          <w:rPr>
            <w:rStyle w:val="Lienhypertexte"/>
            <w:rFonts w:ascii="Tenorite" w:eastAsia="Times New Roman" w:hAnsi="Tenorite" w:cs="Times New Roman"/>
            <w:color w:val="auto"/>
            <w:sz w:val="20"/>
            <w:szCs w:val="20"/>
            <w:lang w:eastAsia="fr-FR"/>
          </w:rPr>
          <w:t>Règlement</w:t>
        </w:r>
      </w:hyperlink>
      <w:r w:rsidRPr="004C2158">
        <w:rPr>
          <w:rFonts w:ascii="Tenorite" w:eastAsia="Times New Roman" w:hAnsi="Tenorite" w:cs="Times New Roman"/>
          <w:sz w:val="20"/>
          <w:szCs w:val="20"/>
          <w:lang w:eastAsia="fr-FR"/>
        </w:rPr>
        <w:t xml:space="preserve"> (UE) 2025/651 de la Commission du 2 avril 2025 modifiant le règlement (CE) no 1333/2008 en ce qui concerne l’utilisation des mono- et diglycérides d’acides gras (E 471) et de la cire de carnauba (E 903) comme agents d’enrobage sur certains fruits frais et le manioc, ainsi que des lécithines (E 322) et des acides gras (E 570) comme supports dans les agents d’enrobage pour le manioc (JOUE 03/04/2025)</w:t>
      </w:r>
    </w:p>
    <w:p w14:paraId="7E5E969D" w14:textId="77777777" w:rsidR="00E3404E" w:rsidRPr="004C2158" w:rsidRDefault="00E3404E" w:rsidP="00E3404E">
      <w:pPr>
        <w:shd w:val="clear" w:color="auto" w:fill="FFFFFF"/>
        <w:spacing w:after="0" w:line="240" w:lineRule="auto"/>
        <w:ind w:left="142"/>
        <w:jc w:val="both"/>
        <w:rPr>
          <w:rFonts w:ascii="Tenorite" w:eastAsia="Times New Roman" w:hAnsi="Tenorite" w:cs="Times New Roman"/>
          <w:sz w:val="20"/>
          <w:szCs w:val="20"/>
          <w:lang w:eastAsia="fr-FR"/>
        </w:rPr>
      </w:pPr>
    </w:p>
    <w:p w14:paraId="45E1C758" w14:textId="77777777" w:rsidR="00E3404E" w:rsidRPr="004C2158" w:rsidRDefault="00E3404E" w:rsidP="00E3404E">
      <w:pPr>
        <w:shd w:val="clear" w:color="auto" w:fill="FFFFFF"/>
        <w:spacing w:after="0" w:line="240" w:lineRule="auto"/>
        <w:ind w:left="142"/>
        <w:jc w:val="both"/>
        <w:rPr>
          <w:rFonts w:ascii="Tenorite" w:eastAsia="Times New Roman" w:hAnsi="Tenorite" w:cs="Times New Roman"/>
          <w:sz w:val="20"/>
          <w:szCs w:val="20"/>
          <w:lang w:eastAsia="fr-FR"/>
        </w:rPr>
      </w:pPr>
      <w:hyperlink r:id="rId10" w:history="1">
        <w:r w:rsidRPr="004C2158">
          <w:rPr>
            <w:rStyle w:val="Lienhypertexte"/>
            <w:rFonts w:ascii="Tenorite" w:eastAsia="Times New Roman" w:hAnsi="Tenorite" w:cs="Times New Roman"/>
            <w:color w:val="auto"/>
            <w:sz w:val="20"/>
            <w:szCs w:val="20"/>
            <w:lang w:eastAsia="fr-FR"/>
          </w:rPr>
          <w:t>Règlement</w:t>
        </w:r>
      </w:hyperlink>
      <w:r w:rsidRPr="004C2158">
        <w:rPr>
          <w:rFonts w:ascii="Tenorite" w:eastAsia="Times New Roman" w:hAnsi="Tenorite" w:cs="Times New Roman"/>
          <w:sz w:val="20"/>
          <w:szCs w:val="20"/>
          <w:lang w:eastAsia="fr-FR"/>
        </w:rPr>
        <w:t xml:space="preserve"> (UE) 2025/652 de la Commission du 2 avril 2025 modifiant le règlement (CE) no 1333/2008 du Parlement européen et du Conseil et le règlement (UE) no 231/2012 de la Commission en ce qui concerne l’utilisation de glycosides de </w:t>
      </w:r>
      <w:proofErr w:type="spellStart"/>
      <w:r w:rsidRPr="004C2158">
        <w:rPr>
          <w:rFonts w:ascii="Tenorite" w:eastAsia="Times New Roman" w:hAnsi="Tenorite" w:cs="Times New Roman"/>
          <w:sz w:val="20"/>
          <w:szCs w:val="20"/>
          <w:lang w:eastAsia="fr-FR"/>
        </w:rPr>
        <w:t>stéviol</w:t>
      </w:r>
      <w:proofErr w:type="spellEnd"/>
      <w:r w:rsidRPr="004C2158">
        <w:rPr>
          <w:rFonts w:ascii="Tenorite" w:eastAsia="Times New Roman" w:hAnsi="Tenorite" w:cs="Times New Roman"/>
          <w:sz w:val="20"/>
          <w:szCs w:val="20"/>
          <w:lang w:eastAsia="fr-FR"/>
        </w:rPr>
        <w:t xml:space="preserve"> produits par fermentation au moyen de </w:t>
      </w:r>
      <w:proofErr w:type="spellStart"/>
      <w:r w:rsidRPr="004C2158">
        <w:rPr>
          <w:rFonts w:ascii="Tenorite" w:eastAsia="Times New Roman" w:hAnsi="Tenorite" w:cs="Times New Roman"/>
          <w:sz w:val="20"/>
          <w:szCs w:val="20"/>
          <w:lang w:eastAsia="fr-FR"/>
        </w:rPr>
        <w:t>Yarrowia</w:t>
      </w:r>
      <w:proofErr w:type="spellEnd"/>
      <w:r w:rsidRPr="004C2158">
        <w:rPr>
          <w:rFonts w:ascii="Tenorite" w:eastAsia="Times New Roman" w:hAnsi="Tenorite" w:cs="Times New Roman"/>
          <w:sz w:val="20"/>
          <w:szCs w:val="20"/>
          <w:lang w:eastAsia="fr-FR"/>
        </w:rPr>
        <w:t xml:space="preserve"> </w:t>
      </w:r>
      <w:proofErr w:type="spellStart"/>
      <w:r w:rsidRPr="004C2158">
        <w:rPr>
          <w:rFonts w:ascii="Tenorite" w:eastAsia="Times New Roman" w:hAnsi="Tenorite" w:cs="Times New Roman"/>
          <w:sz w:val="20"/>
          <w:szCs w:val="20"/>
          <w:lang w:eastAsia="fr-FR"/>
        </w:rPr>
        <w:t>lipolytica</w:t>
      </w:r>
      <w:proofErr w:type="spellEnd"/>
      <w:r w:rsidRPr="004C2158">
        <w:rPr>
          <w:rFonts w:ascii="Tenorite" w:eastAsia="Times New Roman" w:hAnsi="Tenorite" w:cs="Times New Roman"/>
          <w:sz w:val="20"/>
          <w:szCs w:val="20"/>
          <w:lang w:eastAsia="fr-FR"/>
        </w:rPr>
        <w:t xml:space="preserve"> (JOUE 03/04/2025)</w:t>
      </w:r>
    </w:p>
    <w:p w14:paraId="58C039D7" w14:textId="77777777" w:rsidR="00E3404E" w:rsidRPr="004C2158" w:rsidRDefault="00E3404E" w:rsidP="00E3404E">
      <w:pPr>
        <w:shd w:val="clear" w:color="auto" w:fill="FFFFFF"/>
        <w:spacing w:after="0" w:line="240" w:lineRule="auto"/>
        <w:ind w:left="142"/>
        <w:jc w:val="both"/>
        <w:rPr>
          <w:rFonts w:ascii="Tenorite" w:eastAsia="Times New Roman" w:hAnsi="Tenorite" w:cs="Times New Roman"/>
          <w:sz w:val="20"/>
          <w:szCs w:val="20"/>
          <w:lang w:eastAsia="fr-FR"/>
        </w:rPr>
      </w:pPr>
    </w:p>
    <w:p w14:paraId="01A948C0" w14:textId="77777777" w:rsidR="00E3404E" w:rsidRPr="004C2158" w:rsidRDefault="00E3404E" w:rsidP="00E3404E">
      <w:pPr>
        <w:shd w:val="clear" w:color="auto" w:fill="FFFFFF"/>
        <w:spacing w:after="0" w:line="240" w:lineRule="auto"/>
        <w:ind w:left="142"/>
        <w:jc w:val="both"/>
        <w:rPr>
          <w:rFonts w:ascii="Tenorite" w:eastAsia="Times New Roman" w:hAnsi="Tenorite" w:cs="Times New Roman"/>
          <w:sz w:val="20"/>
          <w:szCs w:val="20"/>
          <w:lang w:eastAsia="fr-FR"/>
        </w:rPr>
      </w:pPr>
      <w:hyperlink r:id="rId11" w:history="1">
        <w:r w:rsidRPr="004C2158">
          <w:rPr>
            <w:rStyle w:val="Lienhypertexte"/>
            <w:rFonts w:ascii="Tenorite" w:eastAsia="Times New Roman" w:hAnsi="Tenorite" w:cs="Times New Roman"/>
            <w:color w:val="auto"/>
            <w:sz w:val="20"/>
            <w:szCs w:val="20"/>
            <w:lang w:eastAsia="fr-FR"/>
          </w:rPr>
          <w:t>Règlement</w:t>
        </w:r>
      </w:hyperlink>
      <w:r w:rsidRPr="004C2158">
        <w:rPr>
          <w:rFonts w:ascii="Tenorite" w:eastAsia="Times New Roman" w:hAnsi="Tenorite" w:cs="Times New Roman"/>
          <w:sz w:val="20"/>
          <w:szCs w:val="20"/>
          <w:lang w:eastAsia="fr-FR"/>
        </w:rPr>
        <w:t xml:space="preserve"> (UE) 2025/666 de la Commission du 4 avril 2025 modifiant les annexes II et III du règlement (CE) no 1333/2008 du Parlement européen et du Conseil en ce qui concerne l’utilisation de la </w:t>
      </w:r>
      <w:proofErr w:type="spellStart"/>
      <w:r w:rsidRPr="004C2158">
        <w:rPr>
          <w:rFonts w:ascii="Tenorite" w:eastAsia="Times New Roman" w:hAnsi="Tenorite" w:cs="Times New Roman"/>
          <w:sz w:val="20"/>
          <w:szCs w:val="20"/>
          <w:lang w:eastAsia="fr-FR"/>
        </w:rPr>
        <w:t>carboxyméthyl-cellulose</w:t>
      </w:r>
      <w:proofErr w:type="spellEnd"/>
      <w:r w:rsidRPr="004C2158">
        <w:rPr>
          <w:rFonts w:ascii="Tenorite" w:eastAsia="Times New Roman" w:hAnsi="Tenorite" w:cs="Times New Roman"/>
          <w:sz w:val="20"/>
          <w:szCs w:val="20"/>
          <w:lang w:eastAsia="fr-FR"/>
        </w:rPr>
        <w:t xml:space="preserve"> sodique, gomme cellulosique (E 466) et l’annexe du règlement (UE) no 231/2012 de la Commission en ce qui concerne les spécifications de la cellulose (E 460), de la méthylcellulose (E 461), de l’</w:t>
      </w:r>
      <w:proofErr w:type="spellStart"/>
      <w:r w:rsidRPr="004C2158">
        <w:rPr>
          <w:rFonts w:ascii="Tenorite" w:eastAsia="Times New Roman" w:hAnsi="Tenorite" w:cs="Times New Roman"/>
          <w:sz w:val="20"/>
          <w:szCs w:val="20"/>
          <w:lang w:eastAsia="fr-FR"/>
        </w:rPr>
        <w:t>éthylcellulose</w:t>
      </w:r>
      <w:proofErr w:type="spellEnd"/>
      <w:r w:rsidRPr="004C2158">
        <w:rPr>
          <w:rFonts w:ascii="Tenorite" w:eastAsia="Times New Roman" w:hAnsi="Tenorite" w:cs="Times New Roman"/>
          <w:sz w:val="20"/>
          <w:szCs w:val="20"/>
          <w:lang w:eastAsia="fr-FR"/>
        </w:rPr>
        <w:t xml:space="preserve"> (E 462), de l’</w:t>
      </w:r>
      <w:proofErr w:type="spellStart"/>
      <w:r w:rsidRPr="004C2158">
        <w:rPr>
          <w:rFonts w:ascii="Tenorite" w:eastAsia="Times New Roman" w:hAnsi="Tenorite" w:cs="Times New Roman"/>
          <w:sz w:val="20"/>
          <w:szCs w:val="20"/>
          <w:lang w:eastAsia="fr-FR"/>
        </w:rPr>
        <w:t>hydroxypropylcellulose</w:t>
      </w:r>
      <w:proofErr w:type="spellEnd"/>
      <w:r w:rsidRPr="004C2158">
        <w:rPr>
          <w:rFonts w:ascii="Tenorite" w:eastAsia="Times New Roman" w:hAnsi="Tenorite" w:cs="Times New Roman"/>
          <w:sz w:val="20"/>
          <w:szCs w:val="20"/>
          <w:lang w:eastAsia="fr-FR"/>
        </w:rPr>
        <w:t xml:space="preserve"> (E 463), de l’</w:t>
      </w:r>
      <w:proofErr w:type="spellStart"/>
      <w:r w:rsidRPr="004C2158">
        <w:rPr>
          <w:rFonts w:ascii="Tenorite" w:eastAsia="Times New Roman" w:hAnsi="Tenorite" w:cs="Times New Roman"/>
          <w:sz w:val="20"/>
          <w:szCs w:val="20"/>
          <w:lang w:eastAsia="fr-FR"/>
        </w:rPr>
        <w:t>hydroxypropylméthylcellulose</w:t>
      </w:r>
      <w:proofErr w:type="spellEnd"/>
      <w:r w:rsidRPr="004C2158">
        <w:rPr>
          <w:rFonts w:ascii="Tenorite" w:eastAsia="Times New Roman" w:hAnsi="Tenorite" w:cs="Times New Roman"/>
          <w:sz w:val="20"/>
          <w:szCs w:val="20"/>
          <w:lang w:eastAsia="fr-FR"/>
        </w:rPr>
        <w:t xml:space="preserve"> (E 464), de la </w:t>
      </w:r>
      <w:proofErr w:type="spellStart"/>
      <w:r w:rsidRPr="004C2158">
        <w:rPr>
          <w:rFonts w:ascii="Tenorite" w:eastAsia="Times New Roman" w:hAnsi="Tenorite" w:cs="Times New Roman"/>
          <w:sz w:val="20"/>
          <w:szCs w:val="20"/>
          <w:lang w:eastAsia="fr-FR"/>
        </w:rPr>
        <w:t>méthyléthylcellulose</w:t>
      </w:r>
      <w:proofErr w:type="spellEnd"/>
      <w:r w:rsidRPr="004C2158">
        <w:rPr>
          <w:rFonts w:ascii="Tenorite" w:eastAsia="Times New Roman" w:hAnsi="Tenorite" w:cs="Times New Roman"/>
          <w:sz w:val="20"/>
          <w:szCs w:val="20"/>
          <w:lang w:eastAsia="fr-FR"/>
        </w:rPr>
        <w:t xml:space="preserve"> (E 465), de la </w:t>
      </w:r>
      <w:proofErr w:type="spellStart"/>
      <w:r w:rsidRPr="004C2158">
        <w:rPr>
          <w:rFonts w:ascii="Tenorite" w:eastAsia="Times New Roman" w:hAnsi="Tenorite" w:cs="Times New Roman"/>
          <w:sz w:val="20"/>
          <w:szCs w:val="20"/>
          <w:lang w:eastAsia="fr-FR"/>
        </w:rPr>
        <w:t>carboxyméthyl-cellulose</w:t>
      </w:r>
      <w:proofErr w:type="spellEnd"/>
      <w:r w:rsidRPr="004C2158">
        <w:rPr>
          <w:rFonts w:ascii="Tenorite" w:eastAsia="Times New Roman" w:hAnsi="Tenorite" w:cs="Times New Roman"/>
          <w:sz w:val="20"/>
          <w:szCs w:val="20"/>
          <w:lang w:eastAsia="fr-FR"/>
        </w:rPr>
        <w:t xml:space="preserve"> sodique, gomme cellulosique (E 466), de la carboxyméthylcellulose de sodium réticulée, gomme de cellulose réticulée (E 468) et de la carboxyméthylcellulose hydrolysée de manière enzymatique (E 469) (JOUE 07/04/2025)</w:t>
      </w:r>
    </w:p>
    <w:p w14:paraId="4E01F1F2" w14:textId="77777777" w:rsidR="00E3404E" w:rsidRPr="005F3EA3" w:rsidRDefault="00E3404E" w:rsidP="002B7CB6">
      <w:pPr>
        <w:spacing w:after="0" w:line="240" w:lineRule="auto"/>
        <w:ind w:left="284" w:hanging="142"/>
        <w:rPr>
          <w:rFonts w:ascii="Tenorite" w:hAnsi="Tenorite"/>
          <w:color w:val="C45911" w:themeColor="accent2" w:themeShade="BF"/>
          <w:sz w:val="20"/>
        </w:rPr>
      </w:pPr>
    </w:p>
    <w:p w14:paraId="2377D8B1" w14:textId="04253279" w:rsidR="002B7CB6" w:rsidRPr="005F3EA3" w:rsidRDefault="002B7CB6" w:rsidP="002B7CB6">
      <w:pPr>
        <w:spacing w:after="0" w:line="240" w:lineRule="auto"/>
        <w:ind w:left="284" w:hanging="142"/>
        <w:rPr>
          <w:rFonts w:ascii="Tenorite" w:hAnsi="Tenorite"/>
          <w:color w:val="C45911" w:themeColor="accent2" w:themeShade="BF"/>
          <w:sz w:val="20"/>
        </w:rPr>
      </w:pPr>
      <w:r w:rsidRPr="005F3EA3">
        <w:rPr>
          <w:rFonts w:ascii="Tenorite" w:hAnsi="Tenorite"/>
          <w:color w:val="C45911" w:themeColor="accent2" w:themeShade="BF"/>
          <w:sz w:val="20"/>
        </w:rPr>
        <w:t>Arômes</w:t>
      </w:r>
    </w:p>
    <w:p w14:paraId="47C0C303" w14:textId="48C78749" w:rsidR="002B7CB6" w:rsidRPr="005F3EA3" w:rsidRDefault="002B7CB6" w:rsidP="002B7CB6">
      <w:pPr>
        <w:spacing w:after="0" w:line="240" w:lineRule="auto"/>
        <w:ind w:left="284" w:hanging="142"/>
        <w:rPr>
          <w:rFonts w:ascii="Tenorite" w:hAnsi="Tenorite"/>
          <w:color w:val="C45911" w:themeColor="accent2" w:themeShade="BF"/>
          <w:sz w:val="20"/>
        </w:rPr>
      </w:pPr>
      <w:r w:rsidRPr="005F3EA3">
        <w:rPr>
          <w:rFonts w:ascii="Tenorite" w:hAnsi="Tenorite"/>
          <w:color w:val="C45911" w:themeColor="accent2" w:themeShade="BF"/>
          <w:sz w:val="20"/>
        </w:rPr>
        <w:t>Auxiliaires technologiques</w:t>
      </w:r>
    </w:p>
    <w:p w14:paraId="49061338" w14:textId="498C1B29" w:rsidR="002B7CB6" w:rsidRPr="005F3EA3" w:rsidRDefault="002B7CB6" w:rsidP="002B7CB6">
      <w:pPr>
        <w:spacing w:after="0" w:line="240" w:lineRule="auto"/>
        <w:ind w:left="284" w:hanging="142"/>
        <w:rPr>
          <w:rFonts w:ascii="Tenorite" w:hAnsi="Tenorite"/>
          <w:color w:val="C45911" w:themeColor="accent2" w:themeShade="BF"/>
          <w:sz w:val="20"/>
        </w:rPr>
      </w:pPr>
      <w:r w:rsidRPr="005F3EA3">
        <w:rPr>
          <w:rFonts w:ascii="Tenorite" w:hAnsi="Tenorite"/>
          <w:color w:val="C45911" w:themeColor="accent2" w:themeShade="BF"/>
          <w:sz w:val="20"/>
        </w:rPr>
        <w:t>Colorants</w:t>
      </w:r>
    </w:p>
    <w:p w14:paraId="091C2FFA" w14:textId="19B043A3" w:rsidR="002B7CB6" w:rsidRDefault="00767DBA" w:rsidP="002B7CB6">
      <w:pPr>
        <w:spacing w:after="0" w:line="240" w:lineRule="auto"/>
        <w:ind w:left="284" w:hanging="142"/>
        <w:rPr>
          <w:rFonts w:ascii="Tenorite" w:hAnsi="Tenorite"/>
          <w:color w:val="C45911" w:themeColor="accent2" w:themeShade="BF"/>
          <w:sz w:val="20"/>
        </w:rPr>
      </w:pPr>
      <w:r>
        <w:rPr>
          <w:rFonts w:ascii="Tenorite" w:hAnsi="Tenorite"/>
          <w:color w:val="C45911" w:themeColor="accent2" w:themeShade="BF"/>
          <w:sz w:val="20"/>
        </w:rPr>
        <w:t xml:space="preserve">Novel </w:t>
      </w:r>
      <w:proofErr w:type="spellStart"/>
      <w:r>
        <w:rPr>
          <w:rFonts w:ascii="Tenorite" w:hAnsi="Tenorite"/>
          <w:color w:val="C45911" w:themeColor="accent2" w:themeShade="BF"/>
          <w:sz w:val="20"/>
        </w:rPr>
        <w:t>foods</w:t>
      </w:r>
      <w:proofErr w:type="spellEnd"/>
      <w:r w:rsidR="002B7CB6" w:rsidRPr="005F3EA3">
        <w:rPr>
          <w:rFonts w:ascii="Tenorite" w:hAnsi="Tenorite"/>
          <w:color w:val="C45911" w:themeColor="accent2" w:themeShade="BF"/>
          <w:sz w:val="20"/>
        </w:rPr>
        <w:t xml:space="preserve"> </w:t>
      </w:r>
    </w:p>
    <w:p w14:paraId="7FA08323" w14:textId="77777777" w:rsidR="00E3404E" w:rsidRPr="004C2158" w:rsidRDefault="00E3404E" w:rsidP="00E3404E">
      <w:pPr>
        <w:shd w:val="clear" w:color="auto" w:fill="FFFFFF"/>
        <w:ind w:left="142"/>
        <w:jc w:val="both"/>
        <w:outlineLvl w:val="2"/>
        <w:rPr>
          <w:rFonts w:ascii="Tenorite" w:hAnsi="Tenorite" w:cs="Arial"/>
          <w:sz w:val="20"/>
          <w:szCs w:val="20"/>
        </w:rPr>
      </w:pPr>
      <w:hyperlink r:id="rId12" w:history="1">
        <w:r w:rsidRPr="004C2158">
          <w:rPr>
            <w:rStyle w:val="Lienhypertexte"/>
            <w:rFonts w:ascii="Tenorite" w:hAnsi="Tenorite" w:cs="Arial"/>
            <w:color w:val="auto"/>
            <w:sz w:val="20"/>
            <w:szCs w:val="20"/>
          </w:rPr>
          <w:t>Règlement</w:t>
        </w:r>
      </w:hyperlink>
      <w:r w:rsidRPr="004C2158">
        <w:rPr>
          <w:rFonts w:ascii="Tenorite" w:hAnsi="Tenorite" w:cs="Arial"/>
          <w:sz w:val="20"/>
          <w:szCs w:val="20"/>
        </w:rPr>
        <w:t xml:space="preserve"> d’exécution (UE) 2025/682 de la Commission du 8 avril 2025 modifiant le règlement d’exécution (UE) 2017/2470 en ce qui concerne les spécifications du nouvel aliment Poudre de graines partiellement déshuilées de navette (</w:t>
      </w:r>
      <w:proofErr w:type="spellStart"/>
      <w:r w:rsidRPr="004C2158">
        <w:rPr>
          <w:rFonts w:ascii="Tenorite" w:hAnsi="Tenorite" w:cs="Arial"/>
          <w:sz w:val="20"/>
          <w:szCs w:val="20"/>
        </w:rPr>
        <w:t>Brassica</w:t>
      </w:r>
      <w:proofErr w:type="spellEnd"/>
      <w:r w:rsidRPr="004C2158">
        <w:rPr>
          <w:rFonts w:ascii="Tenorite" w:hAnsi="Tenorite" w:cs="Arial"/>
          <w:sz w:val="20"/>
          <w:szCs w:val="20"/>
        </w:rPr>
        <w:t xml:space="preserve"> </w:t>
      </w:r>
      <w:proofErr w:type="spellStart"/>
      <w:r w:rsidRPr="004C2158">
        <w:rPr>
          <w:rFonts w:ascii="Tenorite" w:hAnsi="Tenorite" w:cs="Arial"/>
          <w:sz w:val="20"/>
          <w:szCs w:val="20"/>
        </w:rPr>
        <w:t>rapa</w:t>
      </w:r>
      <w:proofErr w:type="spellEnd"/>
      <w:r w:rsidRPr="004C2158">
        <w:rPr>
          <w:rFonts w:ascii="Tenorite" w:hAnsi="Tenorite" w:cs="Arial"/>
          <w:sz w:val="20"/>
          <w:szCs w:val="20"/>
        </w:rPr>
        <w:t xml:space="preserve"> L.) et de colza (</w:t>
      </w:r>
      <w:proofErr w:type="spellStart"/>
      <w:r w:rsidRPr="004C2158">
        <w:rPr>
          <w:rFonts w:ascii="Tenorite" w:hAnsi="Tenorite" w:cs="Arial"/>
          <w:sz w:val="20"/>
          <w:szCs w:val="20"/>
        </w:rPr>
        <w:t>Brassica</w:t>
      </w:r>
      <w:proofErr w:type="spellEnd"/>
      <w:r w:rsidRPr="004C2158">
        <w:rPr>
          <w:rFonts w:ascii="Tenorite" w:hAnsi="Tenorite" w:cs="Arial"/>
          <w:sz w:val="20"/>
          <w:szCs w:val="20"/>
        </w:rPr>
        <w:t xml:space="preserve"> </w:t>
      </w:r>
      <w:proofErr w:type="spellStart"/>
      <w:r w:rsidRPr="004C2158">
        <w:rPr>
          <w:rFonts w:ascii="Tenorite" w:hAnsi="Tenorite" w:cs="Arial"/>
          <w:sz w:val="20"/>
          <w:szCs w:val="20"/>
        </w:rPr>
        <w:t>napus</w:t>
      </w:r>
      <w:proofErr w:type="spellEnd"/>
      <w:r w:rsidRPr="004C2158">
        <w:rPr>
          <w:rFonts w:ascii="Tenorite" w:hAnsi="Tenorite" w:cs="Arial"/>
          <w:sz w:val="20"/>
          <w:szCs w:val="20"/>
        </w:rPr>
        <w:t xml:space="preserve"> L.) (JOUE 09/04/2025)</w:t>
      </w:r>
    </w:p>
    <w:p w14:paraId="1680A431" w14:textId="77777777" w:rsidR="00E3404E" w:rsidRPr="004C2158" w:rsidRDefault="00E3404E" w:rsidP="00E3404E">
      <w:pPr>
        <w:shd w:val="clear" w:color="auto" w:fill="FFFFFF"/>
        <w:spacing w:after="0" w:line="240" w:lineRule="auto"/>
        <w:ind w:left="142"/>
        <w:jc w:val="both"/>
        <w:outlineLvl w:val="2"/>
        <w:rPr>
          <w:rFonts w:ascii="Tenorite" w:hAnsi="Tenorite" w:cs="Arial"/>
          <w:sz w:val="20"/>
          <w:szCs w:val="20"/>
        </w:rPr>
      </w:pPr>
      <w:hyperlink r:id="rId13" w:history="1">
        <w:r w:rsidRPr="004C2158">
          <w:rPr>
            <w:rStyle w:val="Lienhypertexte"/>
            <w:rFonts w:ascii="Tenorite" w:hAnsi="Tenorite" w:cs="Arial"/>
            <w:color w:val="auto"/>
            <w:sz w:val="20"/>
            <w:szCs w:val="20"/>
          </w:rPr>
          <w:t>Règlement</w:t>
        </w:r>
      </w:hyperlink>
      <w:r w:rsidRPr="004C2158">
        <w:rPr>
          <w:rFonts w:ascii="Tenorite" w:hAnsi="Tenorite" w:cs="Arial"/>
          <w:sz w:val="20"/>
          <w:szCs w:val="20"/>
        </w:rPr>
        <w:t xml:space="preserve"> d’exécution (UE) 2025/688 de la Commission du 9 avril 2025 modifiant le règlement d’exécution (UE) 2017/2470 en ce qui concerne les conditions d’utilisation du nouvel aliment huile extraite de </w:t>
      </w:r>
      <w:proofErr w:type="spellStart"/>
      <w:r w:rsidRPr="004C2158">
        <w:rPr>
          <w:rFonts w:ascii="Tenorite" w:hAnsi="Tenorite" w:cs="Arial"/>
          <w:sz w:val="20"/>
          <w:szCs w:val="20"/>
        </w:rPr>
        <w:t>Schizochytrium</w:t>
      </w:r>
      <w:proofErr w:type="spellEnd"/>
      <w:r w:rsidRPr="004C2158">
        <w:rPr>
          <w:rFonts w:ascii="Tenorite" w:hAnsi="Tenorite" w:cs="Arial"/>
          <w:sz w:val="20"/>
          <w:szCs w:val="20"/>
        </w:rPr>
        <w:t xml:space="preserve"> </w:t>
      </w:r>
      <w:proofErr w:type="spellStart"/>
      <w:r w:rsidRPr="004C2158">
        <w:rPr>
          <w:rFonts w:ascii="Tenorite" w:hAnsi="Tenorite" w:cs="Arial"/>
          <w:sz w:val="20"/>
          <w:szCs w:val="20"/>
        </w:rPr>
        <w:t>sp</w:t>
      </w:r>
      <w:proofErr w:type="spellEnd"/>
      <w:r w:rsidRPr="004C2158">
        <w:rPr>
          <w:rFonts w:ascii="Tenorite" w:hAnsi="Tenorite" w:cs="Arial"/>
          <w:sz w:val="20"/>
          <w:szCs w:val="20"/>
        </w:rPr>
        <w:t>. (FCC-3204) (JOUE 10/04/2025)</w:t>
      </w:r>
    </w:p>
    <w:p w14:paraId="60279D1A" w14:textId="77777777" w:rsidR="00E3404E" w:rsidRPr="004C2158" w:rsidRDefault="00E3404E" w:rsidP="00E3404E">
      <w:pPr>
        <w:shd w:val="clear" w:color="auto" w:fill="FFFFFF"/>
        <w:spacing w:after="0" w:line="240" w:lineRule="auto"/>
        <w:ind w:left="142"/>
        <w:jc w:val="both"/>
        <w:outlineLvl w:val="2"/>
        <w:rPr>
          <w:rFonts w:ascii="Tenorite" w:hAnsi="Tenorite" w:cs="Arial"/>
          <w:sz w:val="20"/>
          <w:szCs w:val="20"/>
        </w:rPr>
      </w:pPr>
    </w:p>
    <w:p w14:paraId="6AC2DC37" w14:textId="3EFE7E88" w:rsidR="00E3404E" w:rsidRPr="004C2158" w:rsidRDefault="00E3404E" w:rsidP="00E3404E">
      <w:pPr>
        <w:shd w:val="clear" w:color="auto" w:fill="FFFFFF"/>
        <w:spacing w:after="0" w:line="240" w:lineRule="auto"/>
        <w:ind w:left="142"/>
        <w:jc w:val="both"/>
        <w:outlineLvl w:val="2"/>
        <w:rPr>
          <w:rFonts w:ascii="Tenorite" w:hAnsi="Tenorite" w:cs="Arial"/>
          <w:sz w:val="20"/>
          <w:szCs w:val="20"/>
        </w:rPr>
      </w:pPr>
      <w:hyperlink r:id="rId14" w:history="1">
        <w:r w:rsidRPr="004C2158">
          <w:rPr>
            <w:rStyle w:val="Lienhypertexte"/>
            <w:rFonts w:ascii="Tenorite" w:hAnsi="Tenorite" w:cs="Arial"/>
            <w:color w:val="auto"/>
            <w:sz w:val="20"/>
            <w:szCs w:val="20"/>
          </w:rPr>
          <w:t>Règlement</w:t>
        </w:r>
      </w:hyperlink>
      <w:r w:rsidRPr="004C2158">
        <w:rPr>
          <w:rFonts w:ascii="Tenorite" w:hAnsi="Tenorite" w:cs="Arial"/>
          <w:sz w:val="20"/>
          <w:szCs w:val="20"/>
        </w:rPr>
        <w:t xml:space="preserve"> d’exécution (UE) 2025/691 de la Commission du 9 avril 2025 autorisant la mise sur le marché de poudre de champignons contenant de la vitamine D2 en tant que nouvel aliment et modifiant le règlement d’exécution (UE) 2017/</w:t>
      </w:r>
      <w:r w:rsidR="005E5C2C" w:rsidRPr="004C2158">
        <w:rPr>
          <w:rFonts w:ascii="Tenorite" w:hAnsi="Tenorite" w:cs="Arial"/>
          <w:sz w:val="20"/>
          <w:szCs w:val="20"/>
        </w:rPr>
        <w:t>2470 (</w:t>
      </w:r>
      <w:r w:rsidRPr="004C2158">
        <w:rPr>
          <w:rFonts w:ascii="Tenorite" w:hAnsi="Tenorite" w:cs="Arial"/>
          <w:sz w:val="20"/>
          <w:szCs w:val="20"/>
        </w:rPr>
        <w:t>JOUE 10/04/2025)</w:t>
      </w:r>
    </w:p>
    <w:p w14:paraId="5B12E9CF" w14:textId="77777777" w:rsidR="00E3404E" w:rsidRPr="005F3EA3" w:rsidRDefault="00E3404E" w:rsidP="002B7CB6">
      <w:pPr>
        <w:spacing w:after="0" w:line="240" w:lineRule="auto"/>
        <w:ind w:left="284" w:hanging="142"/>
        <w:rPr>
          <w:rFonts w:ascii="Tenorite" w:hAnsi="Tenorite"/>
          <w:sz w:val="18"/>
        </w:rPr>
      </w:pPr>
    </w:p>
    <w:p w14:paraId="19693B20" w14:textId="77777777" w:rsidR="002B7CB6" w:rsidRPr="005F3EA3" w:rsidRDefault="002B7CB6"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ANALYSE ET CONTROLE</w:t>
      </w:r>
    </w:p>
    <w:p w14:paraId="3B4064F8" w14:textId="63D9DF8E" w:rsidR="00767DBA" w:rsidRPr="005F3EA3" w:rsidRDefault="00767DBA" w:rsidP="00767DBA">
      <w:pPr>
        <w:spacing w:after="0" w:line="240" w:lineRule="auto"/>
        <w:ind w:left="284" w:hanging="142"/>
        <w:rPr>
          <w:rFonts w:ascii="Tenorite" w:hAnsi="Tenorite"/>
          <w:color w:val="C45911" w:themeColor="accent2" w:themeShade="BF"/>
          <w:sz w:val="20"/>
        </w:rPr>
      </w:pPr>
      <w:r w:rsidRPr="005F3EA3">
        <w:rPr>
          <w:rFonts w:ascii="Tenorite" w:hAnsi="Tenorite"/>
          <w:color w:val="C45911" w:themeColor="accent2" w:themeShade="BF"/>
          <w:sz w:val="20"/>
        </w:rPr>
        <w:t>A</w:t>
      </w:r>
      <w:r>
        <w:rPr>
          <w:rFonts w:ascii="Tenorite" w:hAnsi="Tenorite"/>
          <w:color w:val="C45911" w:themeColor="accent2" w:themeShade="BF"/>
          <w:sz w:val="20"/>
        </w:rPr>
        <w:t>nalyses</w:t>
      </w:r>
    </w:p>
    <w:p w14:paraId="306E4FFE" w14:textId="5DD87E85" w:rsidR="00767DBA" w:rsidRPr="005F3EA3" w:rsidRDefault="00767DBA" w:rsidP="00767DBA">
      <w:pPr>
        <w:spacing w:after="0" w:line="240" w:lineRule="auto"/>
        <w:ind w:left="284" w:hanging="142"/>
        <w:rPr>
          <w:rFonts w:ascii="Tenorite" w:hAnsi="Tenorite"/>
          <w:color w:val="C45911" w:themeColor="accent2" w:themeShade="BF"/>
          <w:sz w:val="20"/>
        </w:rPr>
      </w:pPr>
      <w:r>
        <w:rPr>
          <w:rFonts w:ascii="Tenorite" w:hAnsi="Tenorite"/>
          <w:color w:val="C45911" w:themeColor="accent2" w:themeShade="BF"/>
          <w:sz w:val="20"/>
        </w:rPr>
        <w:t>Plans de contrôle, PSPC, …</w:t>
      </w:r>
    </w:p>
    <w:p w14:paraId="3570CAB8" w14:textId="77777777" w:rsidR="002B7CB6" w:rsidRPr="005F3EA3" w:rsidRDefault="002B7CB6"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BIOCIDES – PRODUITS DE NETTOYAGE</w:t>
      </w:r>
    </w:p>
    <w:bookmarkStart w:id="0" w:name="_Hlk197514729"/>
    <w:p w14:paraId="14E90898" w14:textId="77777777" w:rsidR="003237C3" w:rsidRDefault="003237C3" w:rsidP="003237C3">
      <w:pPr>
        <w:pStyle w:val="Titre3"/>
        <w:shd w:val="clear" w:color="auto" w:fill="FFFFFF"/>
        <w:spacing w:before="0" w:beforeAutospacing="0" w:after="0" w:afterAutospacing="0"/>
        <w:ind w:left="142"/>
        <w:jc w:val="both"/>
        <w:rPr>
          <w:rFonts w:ascii="Tenorite" w:eastAsiaTheme="minorHAnsi" w:hAnsi="Tenorite" w:cstheme="minorBidi"/>
          <w:b w:val="0"/>
          <w:bCs w:val="0"/>
          <w:sz w:val="20"/>
          <w:szCs w:val="20"/>
        </w:rPr>
      </w:pPr>
      <w:r w:rsidRPr="004C2158">
        <w:rPr>
          <w:rFonts w:ascii="Tenorite" w:eastAsiaTheme="minorHAnsi" w:hAnsi="Tenorite" w:cstheme="minorBidi"/>
          <w:b w:val="0"/>
          <w:bCs w:val="0"/>
          <w:i/>
          <w:sz w:val="20"/>
          <w:szCs w:val="20"/>
        </w:rPr>
        <w:fldChar w:fldCharType="begin"/>
      </w:r>
      <w:r w:rsidRPr="004C2158">
        <w:rPr>
          <w:rFonts w:ascii="Tenorite" w:eastAsiaTheme="minorHAnsi" w:hAnsi="Tenorite" w:cstheme="minorBidi"/>
          <w:b w:val="0"/>
          <w:bCs w:val="0"/>
          <w:sz w:val="20"/>
          <w:szCs w:val="20"/>
        </w:rPr>
        <w:instrText>HYPERLINK "https://www.anses.fr/sites/default/files/PHYTO2024-AUTO-0038.pdf" \t "_blank"</w:instrText>
      </w:r>
      <w:r w:rsidRPr="004C2158">
        <w:rPr>
          <w:rFonts w:ascii="Tenorite" w:eastAsiaTheme="minorHAnsi" w:hAnsi="Tenorite" w:cstheme="minorBidi"/>
          <w:b w:val="0"/>
          <w:bCs w:val="0"/>
          <w:i/>
          <w:sz w:val="20"/>
          <w:szCs w:val="20"/>
        </w:rPr>
      </w:r>
      <w:r w:rsidRPr="004C2158">
        <w:rPr>
          <w:rFonts w:ascii="Tenorite" w:eastAsiaTheme="minorHAnsi" w:hAnsi="Tenorite" w:cstheme="minorBidi"/>
          <w:b w:val="0"/>
          <w:bCs w:val="0"/>
          <w:i/>
          <w:sz w:val="20"/>
          <w:szCs w:val="20"/>
        </w:rPr>
        <w:fldChar w:fldCharType="separate"/>
      </w:r>
      <w:r w:rsidRPr="004C2158">
        <w:rPr>
          <w:rStyle w:val="Lienhypertexte"/>
          <w:rFonts w:ascii="Tenorite" w:hAnsi="Tenorite"/>
          <w:iCs/>
          <w:color w:val="auto"/>
          <w:sz w:val="20"/>
          <w:szCs w:val="20"/>
        </w:rPr>
        <w:t>Avis</w:t>
      </w:r>
      <w:r w:rsidRPr="004C2158">
        <w:rPr>
          <w:rFonts w:ascii="Tenorite" w:eastAsiaTheme="minorHAnsi" w:hAnsi="Tenorite" w:cstheme="minorBidi"/>
          <w:b w:val="0"/>
          <w:bCs w:val="0"/>
          <w:iCs/>
          <w:sz w:val="20"/>
          <w:szCs w:val="20"/>
        </w:rPr>
        <w:t xml:space="preserve"> re</w:t>
      </w:r>
      <w:r w:rsidRPr="004C2158">
        <w:rPr>
          <w:rFonts w:ascii="Tenorite" w:eastAsiaTheme="minorHAnsi" w:hAnsi="Tenorite" w:cstheme="minorBidi"/>
          <w:b w:val="0"/>
          <w:bCs w:val="0"/>
          <w:sz w:val="20"/>
          <w:szCs w:val="20"/>
        </w:rPr>
        <w:t>latif à une analyse des résultats d'une étude exploratoire visant à mesurer la présence de nanoparticules dans des produits phytopharmaceutiques et des produits biocides et à proposer, le cas échéant, des mesures de gestion afin de protéger les populations et l'environnement potentiellement exposés</w:t>
      </w:r>
      <w:r w:rsidRPr="004C2158">
        <w:rPr>
          <w:rFonts w:ascii="Tenorite" w:eastAsiaTheme="minorHAnsi" w:hAnsi="Tenorite" w:cstheme="minorBidi"/>
          <w:b w:val="0"/>
          <w:bCs w:val="0"/>
          <w:i/>
          <w:sz w:val="20"/>
          <w:szCs w:val="20"/>
        </w:rPr>
        <w:fldChar w:fldCharType="end"/>
      </w:r>
      <w:bookmarkEnd w:id="0"/>
      <w:r w:rsidRPr="004C2158">
        <w:rPr>
          <w:rFonts w:ascii="Tenorite" w:eastAsiaTheme="minorHAnsi" w:hAnsi="Tenorite" w:cstheme="minorBidi"/>
          <w:b w:val="0"/>
          <w:bCs w:val="0"/>
          <w:sz w:val="20"/>
          <w:szCs w:val="20"/>
        </w:rPr>
        <w:t xml:space="preserve"> – avis signé le 01/04/2025</w:t>
      </w:r>
    </w:p>
    <w:p w14:paraId="130FF6CB" w14:textId="77777777" w:rsidR="004C2158" w:rsidRPr="004C2158" w:rsidRDefault="004C2158" w:rsidP="003237C3">
      <w:pPr>
        <w:pStyle w:val="Titre3"/>
        <w:shd w:val="clear" w:color="auto" w:fill="FFFFFF"/>
        <w:spacing w:before="0" w:beforeAutospacing="0" w:after="0" w:afterAutospacing="0"/>
        <w:ind w:left="142"/>
        <w:jc w:val="both"/>
        <w:rPr>
          <w:rFonts w:ascii="Tenorite" w:eastAsiaTheme="minorHAnsi" w:hAnsi="Tenorite" w:cstheme="minorBidi"/>
          <w:b w:val="0"/>
          <w:bCs w:val="0"/>
          <w:i/>
          <w:sz w:val="20"/>
          <w:szCs w:val="20"/>
        </w:rPr>
      </w:pPr>
    </w:p>
    <w:p w14:paraId="4AFB6F22" w14:textId="3EE341EA" w:rsidR="003237C3" w:rsidRDefault="003237C3" w:rsidP="003237C3">
      <w:pPr>
        <w:shd w:val="clear" w:color="auto" w:fill="FFFFFF"/>
        <w:spacing w:after="0" w:line="240" w:lineRule="auto"/>
        <w:ind w:left="142"/>
        <w:jc w:val="both"/>
        <w:rPr>
          <w:rFonts w:ascii="Tenorite" w:eastAsia="Times New Roman" w:hAnsi="Tenorite" w:cs="Times New Roman"/>
          <w:sz w:val="20"/>
          <w:szCs w:val="20"/>
          <w:lang w:eastAsia="fr-FR"/>
        </w:rPr>
      </w:pPr>
      <w:r w:rsidRPr="004C2158">
        <w:rPr>
          <w:rFonts w:ascii="Tenorite" w:eastAsia="Times New Roman" w:hAnsi="Tenorite" w:cs="Times New Roman"/>
          <w:b/>
          <w:bCs/>
          <w:sz w:val="20"/>
          <w:szCs w:val="20"/>
          <w:lang w:eastAsia="fr-FR"/>
        </w:rPr>
        <w:t>Note de service </w:t>
      </w:r>
      <w:hyperlink r:id="rId15" w:history="1">
        <w:r w:rsidRPr="004C2158">
          <w:rPr>
            <w:rFonts w:ascii="Tenorite" w:eastAsia="Times New Roman" w:hAnsi="Tenorite" w:cs="Times New Roman"/>
            <w:sz w:val="20"/>
            <w:szCs w:val="20"/>
            <w:u w:val="single"/>
            <w:lang w:eastAsia="fr-FR"/>
          </w:rPr>
          <w:t>DGAL/SDSPV/2025-233</w:t>
        </w:r>
      </w:hyperlink>
      <w:r w:rsidRPr="004C2158">
        <w:rPr>
          <w:rFonts w:ascii="Tenorite" w:eastAsia="Times New Roman" w:hAnsi="Tenorite" w:cs="Times New Roman"/>
          <w:sz w:val="20"/>
          <w:szCs w:val="20"/>
          <w:lang w:eastAsia="fr-FR"/>
        </w:rPr>
        <w:t xml:space="preserve"> du 03-04-2025 - Liste des produits phytopharmaceutiques de biocontrôle, au titre des articles L.253-5 et L.253-7 du code rural et de la pêche </w:t>
      </w:r>
      <w:r w:rsidR="005E5C2C" w:rsidRPr="004C2158">
        <w:rPr>
          <w:rFonts w:ascii="Tenorite" w:eastAsia="Times New Roman" w:hAnsi="Tenorite" w:cs="Times New Roman"/>
          <w:sz w:val="20"/>
          <w:szCs w:val="20"/>
          <w:lang w:eastAsia="fr-FR"/>
        </w:rPr>
        <w:t>maritime. (</w:t>
      </w:r>
      <w:r w:rsidRPr="004C2158">
        <w:rPr>
          <w:rFonts w:ascii="Tenorite" w:eastAsia="Times New Roman" w:hAnsi="Tenorite" w:cs="Times New Roman"/>
          <w:sz w:val="20"/>
          <w:szCs w:val="20"/>
          <w:lang w:eastAsia="fr-FR"/>
        </w:rPr>
        <w:t>DGAL)</w:t>
      </w:r>
    </w:p>
    <w:p w14:paraId="2B4EBC12" w14:textId="77777777" w:rsidR="004C2158" w:rsidRPr="004C2158" w:rsidRDefault="004C2158" w:rsidP="003237C3">
      <w:pPr>
        <w:shd w:val="clear" w:color="auto" w:fill="FFFFFF"/>
        <w:spacing w:after="0" w:line="240" w:lineRule="auto"/>
        <w:ind w:left="142"/>
        <w:jc w:val="both"/>
        <w:rPr>
          <w:rFonts w:ascii="Tenorite" w:eastAsia="Times New Roman" w:hAnsi="Tenorite" w:cs="Times New Roman"/>
          <w:sz w:val="20"/>
          <w:szCs w:val="20"/>
          <w:lang w:eastAsia="fr-FR"/>
        </w:rPr>
      </w:pPr>
    </w:p>
    <w:p w14:paraId="2AE342DF" w14:textId="77777777" w:rsidR="003237C3" w:rsidRDefault="003237C3" w:rsidP="003237C3">
      <w:pPr>
        <w:pStyle w:val="Textebrut"/>
        <w:ind w:left="142"/>
        <w:jc w:val="both"/>
        <w:rPr>
          <w:rFonts w:ascii="Tenorite" w:hAnsi="Tenorite"/>
          <w:sz w:val="20"/>
          <w:szCs w:val="20"/>
        </w:rPr>
      </w:pPr>
      <w:hyperlink r:id="rId16" w:history="1">
        <w:r w:rsidRPr="004C2158">
          <w:rPr>
            <w:rStyle w:val="Lienhypertexte"/>
            <w:rFonts w:ascii="Tenorite" w:hAnsi="Tenorite"/>
            <w:color w:val="auto"/>
            <w:sz w:val="20"/>
            <w:szCs w:val="20"/>
          </w:rPr>
          <w:t>Arrêté</w:t>
        </w:r>
      </w:hyperlink>
      <w:r w:rsidRPr="004C2158">
        <w:rPr>
          <w:rFonts w:ascii="Tenorite" w:hAnsi="Tenorite"/>
          <w:sz w:val="20"/>
          <w:szCs w:val="20"/>
        </w:rPr>
        <w:t xml:space="preserve"> du 31 mars 2025 modifiant l'arrêté du 12 avril 2021 relatif à la mise en œuvre du catalogue national des usages phytopharmaceutiques visés dans les décisions d'autorisation de mise sur le marché et de permis de commerce parallèle des produits phytopharmaceutiques et des adjuvants (JORF 06/04/2025)</w:t>
      </w:r>
    </w:p>
    <w:p w14:paraId="1FDCC451" w14:textId="77777777" w:rsidR="004C2158" w:rsidRPr="004C2158" w:rsidRDefault="004C2158" w:rsidP="003237C3">
      <w:pPr>
        <w:pStyle w:val="Textebrut"/>
        <w:ind w:left="142"/>
        <w:jc w:val="both"/>
        <w:rPr>
          <w:rFonts w:ascii="Tenorite" w:hAnsi="Tenorite"/>
          <w:sz w:val="20"/>
          <w:szCs w:val="20"/>
        </w:rPr>
      </w:pPr>
    </w:p>
    <w:p w14:paraId="6B891E7B" w14:textId="77777777" w:rsidR="003237C3" w:rsidRPr="004C2158" w:rsidRDefault="003237C3" w:rsidP="003237C3">
      <w:pPr>
        <w:shd w:val="clear" w:color="auto" w:fill="FFFFFF"/>
        <w:spacing w:after="0" w:line="240" w:lineRule="auto"/>
        <w:ind w:left="142"/>
        <w:jc w:val="both"/>
        <w:rPr>
          <w:rFonts w:ascii="Tenorite" w:eastAsia="Times New Roman" w:hAnsi="Tenorite" w:cs="Times New Roman"/>
          <w:sz w:val="20"/>
          <w:szCs w:val="20"/>
          <w:lang w:eastAsia="fr-FR"/>
        </w:rPr>
      </w:pPr>
      <w:r w:rsidRPr="004C2158">
        <w:rPr>
          <w:rFonts w:ascii="Tenorite" w:eastAsia="Times New Roman" w:hAnsi="Tenorite" w:cs="Times New Roman"/>
          <w:b/>
          <w:bCs/>
          <w:sz w:val="20"/>
          <w:szCs w:val="20"/>
          <w:lang w:eastAsia="fr-FR"/>
        </w:rPr>
        <w:t>Note de service </w:t>
      </w:r>
      <w:hyperlink r:id="rId17" w:history="1">
        <w:r w:rsidRPr="004C2158">
          <w:rPr>
            <w:rFonts w:ascii="Tenorite" w:eastAsia="Times New Roman" w:hAnsi="Tenorite" w:cs="Times New Roman"/>
            <w:sz w:val="20"/>
            <w:szCs w:val="20"/>
            <w:u w:val="single"/>
            <w:lang w:eastAsia="fr-FR"/>
          </w:rPr>
          <w:t>DGAL/SDSPV/2025-236</w:t>
        </w:r>
      </w:hyperlink>
      <w:r w:rsidRPr="004C2158">
        <w:rPr>
          <w:rFonts w:ascii="Tenorite" w:eastAsia="Times New Roman" w:hAnsi="Tenorite" w:cs="Times New Roman"/>
          <w:sz w:val="20"/>
          <w:szCs w:val="20"/>
          <w:lang w:eastAsia="fr-FR"/>
        </w:rPr>
        <w:t> du 07-04-2025 - Catalogue national des usages phytopharmaceutiques (DGAL)</w:t>
      </w:r>
    </w:p>
    <w:p w14:paraId="06633ABD" w14:textId="77777777" w:rsidR="003237C3" w:rsidRPr="00DB3853" w:rsidRDefault="003237C3" w:rsidP="003237C3">
      <w:pPr>
        <w:pStyle w:val="Textebrut"/>
        <w:ind w:left="142"/>
        <w:jc w:val="both"/>
        <w:rPr>
          <w:rFonts w:ascii="Tenorite" w:hAnsi="Tenorite"/>
          <w:sz w:val="20"/>
          <w:szCs w:val="20"/>
        </w:rPr>
      </w:pPr>
      <w:hyperlink r:id="rId18" w:history="1">
        <w:r w:rsidRPr="00DB3853">
          <w:rPr>
            <w:rStyle w:val="Lienhypertexte"/>
            <w:rFonts w:ascii="Tenorite" w:hAnsi="Tenorite"/>
            <w:sz w:val="20"/>
            <w:szCs w:val="20"/>
          </w:rPr>
          <w:t>Arrêté</w:t>
        </w:r>
      </w:hyperlink>
      <w:r w:rsidRPr="00DB3853">
        <w:rPr>
          <w:rFonts w:ascii="Tenorite" w:hAnsi="Tenorite"/>
          <w:sz w:val="20"/>
          <w:szCs w:val="20"/>
        </w:rPr>
        <w:t xml:space="preserve"> du 26 mars 2025 autorisant par dérogation la mise à disposition sur le marché et l'utilisation du produit biocide BIOBOR JF pour une période de 180 jours (JORF 13/04/2025)</w:t>
      </w:r>
    </w:p>
    <w:p w14:paraId="27D1276C" w14:textId="77777777" w:rsidR="003237C3" w:rsidRPr="00DB3853" w:rsidRDefault="003237C3" w:rsidP="003237C3">
      <w:pPr>
        <w:pStyle w:val="Textebrut"/>
        <w:ind w:left="142"/>
        <w:jc w:val="both"/>
        <w:rPr>
          <w:rFonts w:ascii="Tenorite" w:hAnsi="Tenorite"/>
          <w:sz w:val="20"/>
          <w:szCs w:val="20"/>
        </w:rPr>
      </w:pPr>
    </w:p>
    <w:p w14:paraId="1DE22E02" w14:textId="77777777" w:rsidR="003237C3" w:rsidRPr="00DB3853" w:rsidRDefault="003237C3" w:rsidP="003237C3">
      <w:pPr>
        <w:pStyle w:val="Textebrut"/>
        <w:ind w:left="142"/>
        <w:jc w:val="both"/>
        <w:rPr>
          <w:rFonts w:ascii="Tenorite" w:hAnsi="Tenorite"/>
          <w:sz w:val="20"/>
          <w:szCs w:val="20"/>
        </w:rPr>
      </w:pPr>
      <w:hyperlink r:id="rId19" w:history="1">
        <w:r w:rsidRPr="00DB3853">
          <w:rPr>
            <w:rStyle w:val="Lienhypertexte"/>
            <w:rFonts w:ascii="Tenorite" w:hAnsi="Tenorite"/>
            <w:sz w:val="20"/>
            <w:szCs w:val="20"/>
          </w:rPr>
          <w:t>Arrêté</w:t>
        </w:r>
      </w:hyperlink>
      <w:r w:rsidRPr="00DB3853">
        <w:rPr>
          <w:rFonts w:ascii="Tenorite" w:hAnsi="Tenorite"/>
          <w:sz w:val="20"/>
          <w:szCs w:val="20"/>
        </w:rPr>
        <w:t xml:space="preserve"> du 8 avril 2025 autorisant par dérogation la mise à disposition sur le marché et l'utilisation du produit biocide « TERMIDOR SC » en France, pour une période de 180 jours (JORF 16/04/2025)</w:t>
      </w:r>
    </w:p>
    <w:p w14:paraId="090BB90E" w14:textId="77777777" w:rsidR="003237C3" w:rsidRPr="00DB3853" w:rsidRDefault="003237C3" w:rsidP="003237C3">
      <w:pPr>
        <w:pStyle w:val="Textebrut"/>
        <w:ind w:left="142"/>
        <w:jc w:val="both"/>
        <w:rPr>
          <w:rFonts w:ascii="Tenorite" w:hAnsi="Tenorite"/>
          <w:sz w:val="20"/>
          <w:szCs w:val="20"/>
        </w:rPr>
      </w:pPr>
    </w:p>
    <w:p w14:paraId="21C6F5A6" w14:textId="77777777" w:rsidR="003237C3" w:rsidRPr="00DB3853" w:rsidRDefault="003237C3" w:rsidP="003237C3">
      <w:pPr>
        <w:pStyle w:val="Textebrut"/>
        <w:ind w:left="142"/>
        <w:jc w:val="both"/>
        <w:rPr>
          <w:rFonts w:ascii="Tenorite" w:hAnsi="Tenorite"/>
          <w:sz w:val="20"/>
          <w:szCs w:val="20"/>
        </w:rPr>
      </w:pPr>
      <w:hyperlink r:id="rId20" w:history="1">
        <w:r w:rsidRPr="00DB3853">
          <w:rPr>
            <w:rStyle w:val="Lienhypertexte"/>
            <w:rFonts w:ascii="Tenorite" w:hAnsi="Tenorite"/>
            <w:sz w:val="20"/>
            <w:szCs w:val="20"/>
          </w:rPr>
          <w:t>Règlement</w:t>
        </w:r>
      </w:hyperlink>
      <w:r w:rsidRPr="00DB3853">
        <w:rPr>
          <w:rFonts w:ascii="Tenorite" w:hAnsi="Tenorite"/>
          <w:sz w:val="20"/>
          <w:szCs w:val="20"/>
        </w:rPr>
        <w:t xml:space="preserve"> d’exécution (UE) 2025/787 de la Commission du 24 avril 2025 modifiant le règlement d’exécution (UE) no 540/2011 en ce qui concerne la prolongation de la période d’approbation des substances actives 1,4-diméthylnaphtalène, amidosulfuron, bentazone, </w:t>
      </w:r>
      <w:proofErr w:type="spellStart"/>
      <w:r w:rsidRPr="00DB3853">
        <w:rPr>
          <w:rFonts w:ascii="Tenorite" w:hAnsi="Tenorite"/>
          <w:sz w:val="20"/>
          <w:szCs w:val="20"/>
        </w:rPr>
        <w:t>bixafen</w:t>
      </w:r>
      <w:proofErr w:type="spellEnd"/>
      <w:r w:rsidRPr="00DB3853">
        <w:rPr>
          <w:rFonts w:ascii="Tenorite" w:hAnsi="Tenorite"/>
          <w:sz w:val="20"/>
          <w:szCs w:val="20"/>
        </w:rPr>
        <w:t xml:space="preserve">, clomazone, </w:t>
      </w:r>
      <w:proofErr w:type="spellStart"/>
      <w:r w:rsidRPr="00DB3853">
        <w:rPr>
          <w:rFonts w:ascii="Tenorite" w:hAnsi="Tenorite"/>
          <w:sz w:val="20"/>
          <w:szCs w:val="20"/>
        </w:rPr>
        <w:t>fenoxaprop</w:t>
      </w:r>
      <w:proofErr w:type="spellEnd"/>
      <w:r w:rsidRPr="00DB3853">
        <w:rPr>
          <w:rFonts w:ascii="Tenorite" w:hAnsi="Tenorite"/>
          <w:sz w:val="20"/>
          <w:szCs w:val="20"/>
        </w:rPr>
        <w:t xml:space="preserve">-P, fludioxonyl, </w:t>
      </w:r>
      <w:proofErr w:type="spellStart"/>
      <w:r w:rsidRPr="00DB3853">
        <w:rPr>
          <w:rFonts w:ascii="Tenorite" w:hAnsi="Tenorite"/>
          <w:sz w:val="20"/>
          <w:szCs w:val="20"/>
        </w:rPr>
        <w:t>fluoxastrobine</w:t>
      </w:r>
      <w:proofErr w:type="spellEnd"/>
      <w:r w:rsidRPr="00DB3853">
        <w:rPr>
          <w:rFonts w:ascii="Tenorite" w:hAnsi="Tenorite"/>
          <w:sz w:val="20"/>
          <w:szCs w:val="20"/>
        </w:rPr>
        <w:t xml:space="preserve">, flutolanil, </w:t>
      </w:r>
      <w:proofErr w:type="spellStart"/>
      <w:r w:rsidRPr="00DB3853">
        <w:rPr>
          <w:rFonts w:ascii="Tenorite" w:hAnsi="Tenorite"/>
          <w:sz w:val="20"/>
          <w:szCs w:val="20"/>
        </w:rPr>
        <w:t>fluxapyroxad</w:t>
      </w:r>
      <w:proofErr w:type="spellEnd"/>
      <w:r w:rsidRPr="00DB3853">
        <w:rPr>
          <w:rFonts w:ascii="Tenorite" w:hAnsi="Tenorite"/>
          <w:sz w:val="20"/>
          <w:szCs w:val="20"/>
        </w:rPr>
        <w:t xml:space="preserve">, acide gibbérellique, gibbérellines, </w:t>
      </w:r>
      <w:proofErr w:type="spellStart"/>
      <w:r w:rsidRPr="00DB3853">
        <w:rPr>
          <w:rFonts w:ascii="Tenorite" w:hAnsi="Tenorite"/>
          <w:sz w:val="20"/>
          <w:szCs w:val="20"/>
        </w:rPr>
        <w:t>halauxifène</w:t>
      </w:r>
      <w:proofErr w:type="spellEnd"/>
      <w:r w:rsidRPr="00DB3853">
        <w:rPr>
          <w:rFonts w:ascii="Tenorite" w:hAnsi="Tenorite"/>
          <w:sz w:val="20"/>
          <w:szCs w:val="20"/>
        </w:rPr>
        <w:t xml:space="preserve">-méthyl, mécoprop-P, huile de paraffine, </w:t>
      </w:r>
      <w:proofErr w:type="spellStart"/>
      <w:r w:rsidRPr="00DB3853">
        <w:rPr>
          <w:rFonts w:ascii="Tenorite" w:hAnsi="Tenorite"/>
          <w:sz w:val="20"/>
          <w:szCs w:val="20"/>
        </w:rPr>
        <w:t>penthiopyrade</w:t>
      </w:r>
      <w:proofErr w:type="spellEnd"/>
      <w:r w:rsidRPr="00DB3853">
        <w:rPr>
          <w:rFonts w:ascii="Tenorite" w:hAnsi="Tenorite"/>
          <w:sz w:val="20"/>
          <w:szCs w:val="20"/>
        </w:rPr>
        <w:t xml:space="preserve">, pirimiphos-méthyl, </w:t>
      </w:r>
      <w:proofErr w:type="spellStart"/>
      <w:r w:rsidRPr="00DB3853">
        <w:rPr>
          <w:rFonts w:ascii="Tenorite" w:hAnsi="Tenorite"/>
          <w:sz w:val="20"/>
          <w:szCs w:val="20"/>
        </w:rPr>
        <w:t>propamocarbe</w:t>
      </w:r>
      <w:proofErr w:type="spellEnd"/>
      <w:r w:rsidRPr="00DB3853">
        <w:rPr>
          <w:rFonts w:ascii="Tenorite" w:hAnsi="Tenorite"/>
          <w:sz w:val="20"/>
          <w:szCs w:val="20"/>
        </w:rPr>
        <w:t xml:space="preserve">, propyzamide, </w:t>
      </w:r>
      <w:proofErr w:type="spellStart"/>
      <w:r w:rsidRPr="00DB3853">
        <w:rPr>
          <w:rFonts w:ascii="Tenorite" w:hAnsi="Tenorite"/>
          <w:sz w:val="20"/>
          <w:szCs w:val="20"/>
        </w:rPr>
        <w:t>prothioconazole</w:t>
      </w:r>
      <w:proofErr w:type="spellEnd"/>
      <w:r w:rsidRPr="00DB3853">
        <w:rPr>
          <w:rFonts w:ascii="Tenorite" w:hAnsi="Tenorite"/>
          <w:sz w:val="20"/>
          <w:szCs w:val="20"/>
        </w:rPr>
        <w:t xml:space="preserve">, rimsulfuron, </w:t>
      </w:r>
      <w:proofErr w:type="spellStart"/>
      <w:r w:rsidRPr="00DB3853">
        <w:rPr>
          <w:rFonts w:ascii="Tenorite" w:hAnsi="Tenorite"/>
          <w:sz w:val="20"/>
          <w:szCs w:val="20"/>
        </w:rPr>
        <w:t>sedaxane</w:t>
      </w:r>
      <w:proofErr w:type="spellEnd"/>
      <w:r w:rsidRPr="00DB3853">
        <w:rPr>
          <w:rFonts w:ascii="Tenorite" w:hAnsi="Tenorite"/>
          <w:sz w:val="20"/>
          <w:szCs w:val="20"/>
        </w:rPr>
        <w:t xml:space="preserve"> et </w:t>
      </w:r>
      <w:proofErr w:type="spellStart"/>
      <w:r w:rsidRPr="00DB3853">
        <w:rPr>
          <w:rFonts w:ascii="Tenorite" w:hAnsi="Tenorite"/>
          <w:sz w:val="20"/>
          <w:szCs w:val="20"/>
        </w:rPr>
        <w:t>sulfoxaflor</w:t>
      </w:r>
      <w:proofErr w:type="spellEnd"/>
      <w:r w:rsidRPr="00DB3853">
        <w:rPr>
          <w:rFonts w:ascii="Tenorite" w:hAnsi="Tenorite"/>
          <w:sz w:val="20"/>
          <w:szCs w:val="20"/>
        </w:rPr>
        <w:t xml:space="preserve"> (JOUE 25/04/2025)</w:t>
      </w:r>
    </w:p>
    <w:p w14:paraId="68CAB78C" w14:textId="77777777" w:rsidR="003237C3" w:rsidRPr="00DB3853" w:rsidRDefault="003237C3" w:rsidP="003237C3">
      <w:pPr>
        <w:pStyle w:val="Textebrut"/>
        <w:ind w:left="142"/>
        <w:jc w:val="both"/>
        <w:rPr>
          <w:rFonts w:ascii="Tenorite" w:hAnsi="Tenorite"/>
          <w:sz w:val="20"/>
          <w:szCs w:val="20"/>
        </w:rPr>
      </w:pPr>
    </w:p>
    <w:p w14:paraId="43F05252" w14:textId="77777777" w:rsidR="003237C3" w:rsidRPr="00DB3853" w:rsidRDefault="003237C3" w:rsidP="003237C3">
      <w:pPr>
        <w:pStyle w:val="Textebrut"/>
        <w:ind w:left="142"/>
        <w:jc w:val="both"/>
        <w:rPr>
          <w:rFonts w:ascii="Tenorite" w:hAnsi="Tenorite"/>
          <w:sz w:val="20"/>
          <w:szCs w:val="20"/>
        </w:rPr>
      </w:pPr>
      <w:hyperlink r:id="rId21" w:history="1">
        <w:r w:rsidRPr="00DB3853">
          <w:rPr>
            <w:rStyle w:val="Lienhypertexte"/>
            <w:rFonts w:ascii="Tenorite" w:hAnsi="Tenorite"/>
            <w:sz w:val="20"/>
            <w:szCs w:val="20"/>
          </w:rPr>
          <w:t>Règlement</w:t>
        </w:r>
      </w:hyperlink>
      <w:r w:rsidRPr="00DB3853">
        <w:rPr>
          <w:rFonts w:ascii="Tenorite" w:hAnsi="Tenorite"/>
          <w:sz w:val="20"/>
          <w:szCs w:val="20"/>
        </w:rPr>
        <w:t xml:space="preserve"> d’exécution (UE) 2025/807 de la Commission du 28 avril 2025 accordant une autorisation de l’Union pour le produit biocide unique dénommé C(M)IT/MIT &amp; </w:t>
      </w:r>
      <w:proofErr w:type="spellStart"/>
      <w:r w:rsidRPr="00DB3853">
        <w:rPr>
          <w:rFonts w:ascii="Tenorite" w:hAnsi="Tenorite"/>
          <w:sz w:val="20"/>
          <w:szCs w:val="20"/>
        </w:rPr>
        <w:t>Glutaraldehyde</w:t>
      </w:r>
      <w:proofErr w:type="spellEnd"/>
      <w:r w:rsidRPr="00DB3853">
        <w:rPr>
          <w:rFonts w:ascii="Tenorite" w:hAnsi="Tenorite"/>
          <w:sz w:val="20"/>
          <w:szCs w:val="20"/>
        </w:rPr>
        <w:t xml:space="preserve"> Formulations conformément au règlement (UE) no 528/2012 du Parlement européen et du Conseil (JOUE 29/04/2025)</w:t>
      </w:r>
    </w:p>
    <w:p w14:paraId="431DB834" w14:textId="77777777" w:rsidR="002B7CB6" w:rsidRPr="005F3EA3" w:rsidRDefault="002B7CB6" w:rsidP="002B7CB6">
      <w:pPr>
        <w:spacing w:after="0" w:line="240" w:lineRule="auto"/>
        <w:ind w:left="284" w:hanging="142"/>
        <w:rPr>
          <w:rFonts w:ascii="Tenorite" w:eastAsia="MS Gothic" w:hAnsi="Tenorite" w:cs="Segoe UI Symbol"/>
          <w:b/>
          <w:sz w:val="28"/>
        </w:rPr>
      </w:pPr>
    </w:p>
    <w:p w14:paraId="6630880B" w14:textId="670186DB" w:rsidR="002B7CB6" w:rsidRPr="005F3EA3" w:rsidRDefault="00767DBA"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Pr>
          <w:rFonts w:ascii="Tenorite" w:hAnsi="Tenorite"/>
          <w:b/>
          <w:color w:val="833C0B" w:themeColor="accent2" w:themeShade="80"/>
          <w:sz w:val="24"/>
        </w:rPr>
        <w:t>SUBSTANCES CHIMIQUES ET CONTAMINANTS</w:t>
      </w:r>
    </w:p>
    <w:p w14:paraId="75E61D11" w14:textId="77777777" w:rsidR="00767DBA" w:rsidRDefault="00767DBA" w:rsidP="002B7CB6">
      <w:pPr>
        <w:spacing w:after="0" w:line="240" w:lineRule="auto"/>
        <w:ind w:left="142"/>
        <w:rPr>
          <w:rFonts w:ascii="Tenorite" w:hAnsi="Tenorite"/>
          <w:color w:val="C45911" w:themeColor="accent2" w:themeShade="BF"/>
          <w:sz w:val="20"/>
        </w:rPr>
      </w:pPr>
      <w:r>
        <w:rPr>
          <w:rFonts w:ascii="Tenorite" w:hAnsi="Tenorite"/>
          <w:color w:val="C45911" w:themeColor="accent2" w:themeShade="BF"/>
          <w:sz w:val="20"/>
        </w:rPr>
        <w:t>Acrylamide</w:t>
      </w:r>
    </w:p>
    <w:p w14:paraId="078DE143" w14:textId="77777777" w:rsidR="00767DBA" w:rsidRDefault="00767DBA" w:rsidP="002B7CB6">
      <w:pPr>
        <w:spacing w:after="0" w:line="240" w:lineRule="auto"/>
        <w:ind w:left="142"/>
        <w:rPr>
          <w:rFonts w:ascii="Tenorite" w:hAnsi="Tenorite"/>
          <w:color w:val="C45911" w:themeColor="accent2" w:themeShade="BF"/>
          <w:sz w:val="20"/>
        </w:rPr>
      </w:pPr>
      <w:r>
        <w:rPr>
          <w:rFonts w:ascii="Tenorite" w:hAnsi="Tenorite"/>
          <w:color w:val="C45911" w:themeColor="accent2" w:themeShade="BF"/>
          <w:sz w:val="20"/>
        </w:rPr>
        <w:t>BPA</w:t>
      </w:r>
    </w:p>
    <w:p w14:paraId="200A0031" w14:textId="27F3F62C" w:rsidR="002B7CB6" w:rsidRPr="005F3EA3" w:rsidRDefault="002B7CB6" w:rsidP="002B7CB6">
      <w:pPr>
        <w:spacing w:after="0" w:line="240" w:lineRule="auto"/>
        <w:ind w:left="142"/>
        <w:rPr>
          <w:rFonts w:ascii="Tenorite" w:hAnsi="Tenorite"/>
          <w:color w:val="C45911" w:themeColor="accent2" w:themeShade="BF"/>
          <w:sz w:val="20"/>
        </w:rPr>
      </w:pPr>
      <w:r w:rsidRPr="005F3EA3">
        <w:rPr>
          <w:rFonts w:ascii="Tenorite" w:hAnsi="Tenorite"/>
          <w:color w:val="C45911" w:themeColor="accent2" w:themeShade="BF"/>
          <w:sz w:val="20"/>
        </w:rPr>
        <w:t>Dioxine, PCB</w:t>
      </w:r>
    </w:p>
    <w:p w14:paraId="0DF8123B" w14:textId="77777777" w:rsidR="00767DBA" w:rsidRDefault="00767DBA" w:rsidP="002B7CB6">
      <w:pPr>
        <w:spacing w:after="0" w:line="240" w:lineRule="auto"/>
        <w:ind w:left="142"/>
        <w:rPr>
          <w:rFonts w:ascii="Tenorite" w:hAnsi="Tenorite"/>
          <w:color w:val="C45911" w:themeColor="accent2" w:themeShade="BF"/>
          <w:sz w:val="20"/>
        </w:rPr>
      </w:pPr>
      <w:r>
        <w:rPr>
          <w:rFonts w:ascii="Tenorite" w:hAnsi="Tenorite"/>
          <w:color w:val="C45911" w:themeColor="accent2" w:themeShade="BF"/>
          <w:sz w:val="20"/>
        </w:rPr>
        <w:t>Huiles minérales</w:t>
      </w:r>
    </w:p>
    <w:p w14:paraId="75D86915" w14:textId="18E9B9D4" w:rsidR="002B7CB6" w:rsidRPr="005F3EA3" w:rsidRDefault="002B7CB6" w:rsidP="002B7CB6">
      <w:pPr>
        <w:spacing w:after="0" w:line="240" w:lineRule="auto"/>
        <w:ind w:left="142"/>
        <w:rPr>
          <w:rFonts w:ascii="Tenorite" w:hAnsi="Tenorite"/>
          <w:color w:val="C45911" w:themeColor="accent2" w:themeShade="BF"/>
          <w:sz w:val="20"/>
        </w:rPr>
      </w:pPr>
      <w:r w:rsidRPr="005F3EA3">
        <w:rPr>
          <w:rFonts w:ascii="Tenorite" w:hAnsi="Tenorite"/>
          <w:color w:val="C45911" w:themeColor="accent2" w:themeShade="BF"/>
          <w:sz w:val="20"/>
        </w:rPr>
        <w:t>Médicaments vétérinaires</w:t>
      </w:r>
    </w:p>
    <w:p w14:paraId="0A443900" w14:textId="77777777" w:rsidR="002B7CB6" w:rsidRPr="005F3EA3" w:rsidRDefault="002B7CB6" w:rsidP="002B7CB6">
      <w:pPr>
        <w:spacing w:after="0" w:line="240" w:lineRule="auto"/>
        <w:ind w:left="142"/>
        <w:rPr>
          <w:rFonts w:ascii="Tenorite" w:hAnsi="Tenorite"/>
          <w:color w:val="C45911" w:themeColor="accent2" w:themeShade="BF"/>
          <w:sz w:val="20"/>
        </w:rPr>
      </w:pPr>
      <w:r w:rsidRPr="005F3EA3">
        <w:rPr>
          <w:rFonts w:ascii="Tenorite" w:hAnsi="Tenorite"/>
          <w:color w:val="C45911" w:themeColor="accent2" w:themeShade="BF"/>
          <w:sz w:val="20"/>
        </w:rPr>
        <w:t>Métaux lourds</w:t>
      </w:r>
    </w:p>
    <w:p w14:paraId="764B7DE7" w14:textId="77777777" w:rsidR="002B7CB6" w:rsidRPr="005F3EA3" w:rsidRDefault="002B7CB6" w:rsidP="002B7CB6">
      <w:pPr>
        <w:spacing w:after="0" w:line="240" w:lineRule="auto"/>
        <w:ind w:left="284" w:hanging="142"/>
        <w:rPr>
          <w:rFonts w:ascii="Tenorite" w:hAnsi="Tenorite"/>
          <w:color w:val="C45911" w:themeColor="accent2" w:themeShade="BF"/>
          <w:sz w:val="20"/>
        </w:rPr>
      </w:pPr>
      <w:r w:rsidRPr="005F3EA3">
        <w:rPr>
          <w:rFonts w:ascii="Tenorite" w:hAnsi="Tenorite"/>
          <w:color w:val="C45911" w:themeColor="accent2" w:themeShade="BF"/>
          <w:sz w:val="20"/>
        </w:rPr>
        <w:t>Mycotoxines</w:t>
      </w:r>
    </w:p>
    <w:p w14:paraId="71D5CD6D" w14:textId="77777777" w:rsidR="00767DBA" w:rsidRDefault="00767DBA" w:rsidP="002B7CB6">
      <w:pPr>
        <w:spacing w:after="0" w:line="240" w:lineRule="auto"/>
        <w:ind w:left="284" w:hanging="142"/>
        <w:rPr>
          <w:rFonts w:ascii="Tenorite" w:hAnsi="Tenorite"/>
          <w:color w:val="C45911" w:themeColor="accent2" w:themeShade="BF"/>
          <w:sz w:val="20"/>
        </w:rPr>
      </w:pPr>
      <w:r>
        <w:rPr>
          <w:rFonts w:ascii="Tenorite" w:hAnsi="Tenorite"/>
          <w:color w:val="C45911" w:themeColor="accent2" w:themeShade="BF"/>
          <w:sz w:val="20"/>
        </w:rPr>
        <w:t xml:space="preserve">Perturbateurs endocriniens </w:t>
      </w:r>
    </w:p>
    <w:p w14:paraId="4929FD01" w14:textId="0CD210A9" w:rsidR="002B7CB6" w:rsidRDefault="002B7CB6" w:rsidP="002B7CB6">
      <w:pPr>
        <w:spacing w:after="0" w:line="240" w:lineRule="auto"/>
        <w:ind w:left="284" w:hanging="142"/>
        <w:rPr>
          <w:rFonts w:ascii="Tenorite" w:hAnsi="Tenorite"/>
          <w:color w:val="C45911" w:themeColor="accent2" w:themeShade="BF"/>
          <w:sz w:val="20"/>
        </w:rPr>
      </w:pPr>
      <w:r w:rsidRPr="005F3EA3">
        <w:rPr>
          <w:rFonts w:ascii="Tenorite" w:hAnsi="Tenorite"/>
          <w:color w:val="C45911" w:themeColor="accent2" w:themeShade="BF"/>
          <w:sz w:val="20"/>
        </w:rPr>
        <w:t>Pesticides</w:t>
      </w:r>
    </w:p>
    <w:p w14:paraId="4DBA7323" w14:textId="77777777" w:rsidR="00E3404E" w:rsidRPr="004C2158" w:rsidRDefault="00E3404E" w:rsidP="00E3404E">
      <w:pPr>
        <w:shd w:val="clear" w:color="auto" w:fill="FFFFFF"/>
        <w:spacing w:after="0" w:line="240" w:lineRule="auto"/>
        <w:ind w:left="142"/>
        <w:jc w:val="both"/>
        <w:rPr>
          <w:rFonts w:ascii="Tenorite" w:hAnsi="Tenorite"/>
          <w:sz w:val="20"/>
          <w:szCs w:val="20"/>
        </w:rPr>
      </w:pPr>
      <w:hyperlink r:id="rId22" w:history="1">
        <w:r w:rsidRPr="004C2158">
          <w:rPr>
            <w:rStyle w:val="Lienhypertexte"/>
            <w:rFonts w:ascii="Tenorite" w:hAnsi="Tenorite"/>
            <w:color w:val="auto"/>
            <w:sz w:val="20"/>
            <w:szCs w:val="20"/>
          </w:rPr>
          <w:t>Avis</w:t>
        </w:r>
      </w:hyperlink>
      <w:r w:rsidRPr="004C2158">
        <w:rPr>
          <w:rFonts w:ascii="Tenorite" w:hAnsi="Tenorite"/>
          <w:sz w:val="20"/>
          <w:szCs w:val="20"/>
        </w:rPr>
        <w:t xml:space="preserve"> relatif à la détermination de la VMAX dans les EDCH pour le métabolite de pesticide 1,2,4-triazole et les substances actives chlordécone et glyphosate – avis signé le 24/03/2025</w:t>
      </w:r>
    </w:p>
    <w:p w14:paraId="4F8CED9D" w14:textId="77777777" w:rsidR="00E3404E" w:rsidRPr="004C2158" w:rsidRDefault="00E3404E" w:rsidP="00E3404E">
      <w:pPr>
        <w:shd w:val="clear" w:color="auto" w:fill="FFFFFF"/>
        <w:spacing w:after="0" w:line="240" w:lineRule="auto"/>
        <w:ind w:left="142"/>
        <w:jc w:val="both"/>
        <w:rPr>
          <w:rFonts w:ascii="Tenorite" w:hAnsi="Tenorite"/>
          <w:sz w:val="20"/>
          <w:szCs w:val="20"/>
        </w:rPr>
      </w:pPr>
    </w:p>
    <w:p w14:paraId="04DFF716" w14:textId="77777777" w:rsidR="00E3404E" w:rsidRPr="004C2158" w:rsidRDefault="00E3404E" w:rsidP="00E3404E">
      <w:pPr>
        <w:shd w:val="clear" w:color="auto" w:fill="FFFFFF"/>
        <w:spacing w:after="0" w:line="240" w:lineRule="auto"/>
        <w:ind w:left="142"/>
        <w:jc w:val="both"/>
        <w:rPr>
          <w:rFonts w:ascii="Tenorite" w:eastAsia="Times New Roman" w:hAnsi="Tenorite" w:cs="Times New Roman"/>
          <w:sz w:val="20"/>
          <w:szCs w:val="20"/>
          <w:lang w:eastAsia="fr-FR"/>
        </w:rPr>
      </w:pPr>
      <w:hyperlink r:id="rId23" w:history="1">
        <w:r w:rsidRPr="004C2158">
          <w:rPr>
            <w:rStyle w:val="Lienhypertexte"/>
            <w:rFonts w:ascii="Tenorite" w:eastAsia="Times New Roman" w:hAnsi="Tenorite" w:cs="Times New Roman"/>
            <w:color w:val="auto"/>
            <w:sz w:val="20"/>
            <w:szCs w:val="20"/>
            <w:lang w:eastAsia="fr-FR"/>
          </w:rPr>
          <w:t>Rectificatif</w:t>
        </w:r>
      </w:hyperlink>
      <w:r w:rsidRPr="004C2158">
        <w:rPr>
          <w:rFonts w:ascii="Tenorite" w:eastAsia="Times New Roman" w:hAnsi="Tenorite" w:cs="Times New Roman"/>
          <w:sz w:val="20"/>
          <w:szCs w:val="20"/>
          <w:lang w:eastAsia="fr-FR"/>
        </w:rPr>
        <w:t> du 04-04-2025 - Cadre réglementaire applicable aux résidus de pesticides sur et dans les denrées alimentaires (DGAL)</w:t>
      </w:r>
    </w:p>
    <w:p w14:paraId="2FC60940" w14:textId="77777777" w:rsidR="00E3404E" w:rsidRDefault="00E3404E" w:rsidP="002B7CB6">
      <w:pPr>
        <w:spacing w:after="0" w:line="240" w:lineRule="auto"/>
        <w:ind w:left="284" w:hanging="142"/>
        <w:rPr>
          <w:rFonts w:ascii="Tenorite" w:hAnsi="Tenorite"/>
          <w:color w:val="C45911" w:themeColor="accent2" w:themeShade="BF"/>
          <w:sz w:val="20"/>
        </w:rPr>
      </w:pPr>
    </w:p>
    <w:p w14:paraId="7B15C6BD" w14:textId="6C846FE8" w:rsidR="00767DBA" w:rsidRPr="005F3EA3" w:rsidRDefault="00767DBA" w:rsidP="002B7CB6">
      <w:pPr>
        <w:spacing w:after="0" w:line="240" w:lineRule="auto"/>
        <w:ind w:left="284" w:hanging="142"/>
        <w:rPr>
          <w:rFonts w:ascii="Tenorite" w:hAnsi="Tenorite"/>
          <w:color w:val="C45911" w:themeColor="accent2" w:themeShade="BF"/>
          <w:sz w:val="20"/>
        </w:rPr>
      </w:pPr>
      <w:r>
        <w:rPr>
          <w:rFonts w:ascii="Tenorite" w:hAnsi="Tenorite"/>
          <w:color w:val="C45911" w:themeColor="accent2" w:themeShade="BF"/>
          <w:sz w:val="20"/>
        </w:rPr>
        <w:t>PFAS</w:t>
      </w:r>
    </w:p>
    <w:p w14:paraId="6ADBF364" w14:textId="77777777" w:rsidR="002B7CB6" w:rsidRPr="005F3EA3" w:rsidRDefault="002B7CB6" w:rsidP="002B7CB6">
      <w:pPr>
        <w:spacing w:after="0" w:line="240" w:lineRule="auto"/>
        <w:ind w:left="284" w:hanging="142"/>
        <w:rPr>
          <w:rFonts w:ascii="Tenorite" w:hAnsi="Tenorite"/>
          <w:color w:val="C45911" w:themeColor="accent2" w:themeShade="BF"/>
          <w:sz w:val="20"/>
        </w:rPr>
      </w:pPr>
      <w:r w:rsidRPr="005F3EA3">
        <w:rPr>
          <w:rFonts w:ascii="Tenorite" w:hAnsi="Tenorite"/>
          <w:color w:val="C45911" w:themeColor="accent2" w:themeShade="BF"/>
          <w:sz w:val="20"/>
        </w:rPr>
        <w:t>Radioactivité</w:t>
      </w:r>
    </w:p>
    <w:p w14:paraId="1012E99E" w14:textId="77777777" w:rsidR="005F3EA3" w:rsidRPr="005F3EA3" w:rsidRDefault="005F3EA3" w:rsidP="002B7CB6">
      <w:pPr>
        <w:spacing w:after="0" w:line="240" w:lineRule="auto"/>
        <w:ind w:left="284" w:hanging="142"/>
        <w:rPr>
          <w:rFonts w:ascii="Tenorite" w:eastAsia="MS Gothic" w:hAnsi="Tenorite" w:cs="Segoe UI Symbol"/>
          <w:b/>
          <w:sz w:val="28"/>
        </w:rPr>
      </w:pPr>
    </w:p>
    <w:p w14:paraId="2115C4F0" w14:textId="01B12948" w:rsidR="002B7CB6" w:rsidRPr="005F3EA3" w:rsidRDefault="002B7CB6"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 xml:space="preserve">ETIQUETAGE </w:t>
      </w:r>
      <w:r w:rsidR="00767DBA">
        <w:rPr>
          <w:rFonts w:ascii="Tenorite" w:hAnsi="Tenorite"/>
          <w:b/>
          <w:color w:val="833C0B" w:themeColor="accent2" w:themeShade="80"/>
          <w:sz w:val="24"/>
        </w:rPr>
        <w:t>ET PRESENTATION DES PRODUITS</w:t>
      </w:r>
    </w:p>
    <w:p w14:paraId="13F8048B" w14:textId="77777777" w:rsidR="00767DBA" w:rsidRDefault="00767DBA" w:rsidP="002F17D1">
      <w:pPr>
        <w:spacing w:after="0" w:line="240" w:lineRule="auto"/>
        <w:ind w:left="142"/>
        <w:rPr>
          <w:rFonts w:ascii="Tenorite" w:hAnsi="Tenorite"/>
          <w:color w:val="C45911" w:themeColor="accent2" w:themeShade="BF"/>
          <w:sz w:val="20"/>
        </w:rPr>
      </w:pPr>
      <w:r>
        <w:rPr>
          <w:rFonts w:ascii="Tenorite" w:hAnsi="Tenorite"/>
          <w:color w:val="C45911" w:themeColor="accent2" w:themeShade="BF"/>
          <w:sz w:val="20"/>
        </w:rPr>
        <w:t>Environnemental</w:t>
      </w:r>
    </w:p>
    <w:p w14:paraId="5B30DC1D" w14:textId="77305349" w:rsidR="002F17D1" w:rsidRPr="005F3EA3" w:rsidRDefault="002B7CB6" w:rsidP="002F17D1">
      <w:pPr>
        <w:spacing w:after="0" w:line="240" w:lineRule="auto"/>
        <w:ind w:left="142"/>
        <w:rPr>
          <w:rFonts w:ascii="Tenorite" w:hAnsi="Tenorite"/>
          <w:color w:val="C45911" w:themeColor="accent2" w:themeShade="BF"/>
          <w:sz w:val="20"/>
        </w:rPr>
      </w:pPr>
      <w:r w:rsidRPr="005F3EA3">
        <w:rPr>
          <w:rFonts w:ascii="Tenorite" w:hAnsi="Tenorite"/>
          <w:color w:val="C45911" w:themeColor="accent2" w:themeShade="BF"/>
          <w:sz w:val="20"/>
        </w:rPr>
        <w:t>Général</w:t>
      </w:r>
    </w:p>
    <w:p w14:paraId="7C7935D3" w14:textId="77777777" w:rsidR="002B7CB6" w:rsidRDefault="002B7CB6" w:rsidP="002F17D1">
      <w:pPr>
        <w:spacing w:after="0" w:line="240" w:lineRule="auto"/>
        <w:ind w:left="142"/>
        <w:rPr>
          <w:rFonts w:ascii="Tenorite" w:hAnsi="Tenorite"/>
          <w:color w:val="C45911" w:themeColor="accent2" w:themeShade="BF"/>
          <w:sz w:val="20"/>
        </w:rPr>
      </w:pPr>
      <w:r w:rsidRPr="005F3EA3">
        <w:rPr>
          <w:rFonts w:ascii="Tenorite" w:hAnsi="Tenorite"/>
          <w:color w:val="C45911" w:themeColor="accent2" w:themeShade="BF"/>
          <w:sz w:val="20"/>
        </w:rPr>
        <w:t>Nutritionnel</w:t>
      </w:r>
    </w:p>
    <w:p w14:paraId="5112D211" w14:textId="77777777" w:rsidR="002F17D1" w:rsidRPr="005F3EA3" w:rsidRDefault="002F17D1" w:rsidP="002F17D1">
      <w:pPr>
        <w:spacing w:after="0" w:line="240" w:lineRule="auto"/>
        <w:ind w:left="142"/>
        <w:rPr>
          <w:rFonts w:ascii="Tenorite" w:hAnsi="Tenorite"/>
          <w:color w:val="C45911" w:themeColor="accent2" w:themeShade="BF"/>
          <w:sz w:val="20"/>
        </w:rPr>
      </w:pPr>
    </w:p>
    <w:p w14:paraId="5A11BE1A" w14:textId="77777777" w:rsidR="002B7CB6" w:rsidRPr="005F3EA3" w:rsidRDefault="002B7CB6"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 xml:space="preserve">HYGIENE ET SECURITE DES ALIMENTS </w:t>
      </w:r>
    </w:p>
    <w:p w14:paraId="5826F136" w14:textId="77777777" w:rsidR="00B659D9" w:rsidRPr="00B659D9" w:rsidRDefault="00B659D9" w:rsidP="00B659D9">
      <w:pPr>
        <w:adjustRightInd w:val="0"/>
        <w:ind w:left="142"/>
        <w:jc w:val="both"/>
        <w:rPr>
          <w:rFonts w:ascii="Tenorite" w:eastAsia="Times New Roman" w:hAnsi="Tenorite" w:cs="Times New Roman"/>
          <w:color w:val="636363"/>
          <w:sz w:val="20"/>
          <w:szCs w:val="20"/>
          <w:lang w:eastAsia="fr-FR"/>
        </w:rPr>
      </w:pPr>
      <w:r w:rsidRPr="00B659D9">
        <w:rPr>
          <w:rFonts w:ascii="Tenorite" w:eastAsia="Times New Roman" w:hAnsi="Tenorite" w:cs="Times New Roman"/>
          <w:b/>
          <w:bCs/>
          <w:color w:val="636363"/>
          <w:sz w:val="20"/>
          <w:szCs w:val="20"/>
          <w:lang w:eastAsia="fr-FR"/>
        </w:rPr>
        <w:t>Instruction technique </w:t>
      </w:r>
      <w:hyperlink r:id="rId24" w:history="1">
        <w:r w:rsidRPr="00B659D9">
          <w:rPr>
            <w:rFonts w:ascii="Tenorite" w:eastAsia="Times New Roman" w:hAnsi="Tenorite" w:cs="Times New Roman"/>
            <w:color w:val="0088CC"/>
            <w:sz w:val="20"/>
            <w:szCs w:val="20"/>
            <w:u w:val="single"/>
            <w:lang w:eastAsia="fr-FR"/>
          </w:rPr>
          <w:t>DGAL/MUS/2025-211</w:t>
        </w:r>
      </w:hyperlink>
      <w:r w:rsidRPr="00B659D9">
        <w:rPr>
          <w:rFonts w:ascii="Tenorite" w:eastAsia="Times New Roman" w:hAnsi="Tenorite" w:cs="Times New Roman"/>
          <w:color w:val="636363"/>
          <w:sz w:val="20"/>
          <w:szCs w:val="20"/>
          <w:lang w:eastAsia="fr-FR"/>
        </w:rPr>
        <w:t> du 01-04-2025 - Bilan des évènements alimentaires enregistrés en 2023 (DGAL)</w:t>
      </w:r>
    </w:p>
    <w:p w14:paraId="75B6C2CF" w14:textId="77777777" w:rsidR="002F17D1" w:rsidRPr="005F3EA3" w:rsidRDefault="002B7CB6" w:rsidP="001B42BB">
      <w:pPr>
        <w:spacing w:after="0" w:line="240" w:lineRule="auto"/>
        <w:ind w:left="284" w:hanging="142"/>
        <w:rPr>
          <w:rFonts w:ascii="Tenorite" w:hAnsi="Tenorite"/>
          <w:color w:val="C45911" w:themeColor="accent2" w:themeShade="BF"/>
          <w:sz w:val="20"/>
        </w:rPr>
      </w:pPr>
      <w:r w:rsidRPr="005F3EA3">
        <w:rPr>
          <w:rFonts w:ascii="Tenorite" w:hAnsi="Tenorite"/>
          <w:color w:val="C45911" w:themeColor="accent2" w:themeShade="BF"/>
          <w:sz w:val="20"/>
        </w:rPr>
        <w:t>Agrément sanitaire</w:t>
      </w:r>
    </w:p>
    <w:p w14:paraId="22B99406" w14:textId="77777777" w:rsidR="00767DBA" w:rsidRDefault="00767DBA" w:rsidP="001B42BB">
      <w:pPr>
        <w:spacing w:after="0" w:line="240" w:lineRule="auto"/>
        <w:ind w:left="284" w:hanging="142"/>
        <w:rPr>
          <w:rFonts w:ascii="Tenorite" w:hAnsi="Tenorite"/>
          <w:color w:val="C45911" w:themeColor="accent2" w:themeShade="BF"/>
          <w:sz w:val="20"/>
        </w:rPr>
      </w:pPr>
      <w:r>
        <w:rPr>
          <w:rFonts w:ascii="Tenorite" w:hAnsi="Tenorite"/>
          <w:color w:val="C45911" w:themeColor="accent2" w:themeShade="BF"/>
          <w:sz w:val="20"/>
        </w:rPr>
        <w:t>Allergènes</w:t>
      </w:r>
    </w:p>
    <w:p w14:paraId="7F5C7775" w14:textId="4FEBC38B" w:rsidR="002F17D1" w:rsidRPr="005F3EA3" w:rsidRDefault="002B7CB6" w:rsidP="001B42BB">
      <w:pPr>
        <w:spacing w:after="0" w:line="240" w:lineRule="auto"/>
        <w:ind w:left="284" w:hanging="142"/>
        <w:rPr>
          <w:rFonts w:ascii="Tenorite" w:hAnsi="Tenorite"/>
          <w:color w:val="C45911" w:themeColor="accent2" w:themeShade="BF"/>
          <w:sz w:val="20"/>
        </w:rPr>
      </w:pPr>
      <w:r w:rsidRPr="005F3EA3">
        <w:rPr>
          <w:rFonts w:ascii="Tenorite" w:hAnsi="Tenorite"/>
          <w:color w:val="C45911" w:themeColor="accent2" w:themeShade="BF"/>
          <w:sz w:val="20"/>
        </w:rPr>
        <w:t>Bulletins épidémiologiques</w:t>
      </w:r>
    </w:p>
    <w:p w14:paraId="20FD2503" w14:textId="77777777" w:rsidR="00D160F0" w:rsidRDefault="00D160F0" w:rsidP="001B42BB">
      <w:pPr>
        <w:spacing w:after="0" w:line="240" w:lineRule="auto"/>
        <w:ind w:left="284" w:hanging="142"/>
        <w:rPr>
          <w:rFonts w:ascii="Tenorite" w:hAnsi="Tenorite"/>
          <w:color w:val="C45911" w:themeColor="accent2" w:themeShade="BF"/>
          <w:sz w:val="20"/>
        </w:rPr>
      </w:pPr>
      <w:r>
        <w:rPr>
          <w:rFonts w:ascii="Tenorite" w:hAnsi="Tenorite"/>
          <w:color w:val="C45911" w:themeColor="accent2" w:themeShade="BF"/>
          <w:sz w:val="20"/>
        </w:rPr>
        <w:br w:type="page"/>
      </w:r>
    </w:p>
    <w:p w14:paraId="5C4E0C63" w14:textId="41778384" w:rsidR="00767DBA" w:rsidRDefault="00767DBA" w:rsidP="001B42BB">
      <w:pPr>
        <w:spacing w:after="0" w:line="240" w:lineRule="auto"/>
        <w:ind w:left="284" w:hanging="142"/>
        <w:rPr>
          <w:rFonts w:ascii="Tenorite" w:hAnsi="Tenorite"/>
          <w:color w:val="C45911" w:themeColor="accent2" w:themeShade="BF"/>
          <w:sz w:val="20"/>
        </w:rPr>
      </w:pPr>
      <w:proofErr w:type="spellStart"/>
      <w:r>
        <w:rPr>
          <w:rFonts w:ascii="Tenorite" w:hAnsi="Tenorite"/>
          <w:color w:val="C45911" w:themeColor="accent2" w:themeShade="BF"/>
          <w:sz w:val="20"/>
        </w:rPr>
        <w:lastRenderedPageBreak/>
        <w:t>BuSCA</w:t>
      </w:r>
      <w:proofErr w:type="spellEnd"/>
    </w:p>
    <w:bookmarkStart w:id="1" w:name="_Hlk197515234"/>
    <w:bookmarkStart w:id="2" w:name="_Hlk197515252"/>
    <w:p w14:paraId="55BE3425" w14:textId="77777777" w:rsidR="00B659D9" w:rsidRPr="00B659D9" w:rsidRDefault="00B659D9" w:rsidP="001B42BB">
      <w:pPr>
        <w:spacing w:after="0" w:line="240" w:lineRule="auto"/>
        <w:ind w:left="284" w:hanging="142"/>
        <w:rPr>
          <w:rFonts w:ascii="Tenorite" w:hAnsi="Tenorite"/>
          <w:sz w:val="20"/>
          <w:szCs w:val="20"/>
        </w:rPr>
      </w:pPr>
      <w:r w:rsidRPr="00B659D9">
        <w:rPr>
          <w:rFonts w:ascii="Tenorite" w:hAnsi="Tenorite"/>
          <w:sz w:val="20"/>
          <w:szCs w:val="20"/>
        </w:rPr>
        <w:fldChar w:fldCharType="begin"/>
      </w:r>
      <w:r w:rsidRPr="00B659D9">
        <w:rPr>
          <w:rFonts w:ascii="Tenorite" w:hAnsi="Tenorite"/>
          <w:sz w:val="20"/>
          <w:szCs w:val="20"/>
        </w:rPr>
        <w:instrText>HYPERLINK "https://www.plateforme-sca.fr/ndeg130-3-avril-2025"</w:instrText>
      </w:r>
      <w:r w:rsidRPr="00B659D9">
        <w:rPr>
          <w:rFonts w:ascii="Tenorite" w:hAnsi="Tenorite"/>
          <w:sz w:val="20"/>
          <w:szCs w:val="20"/>
        </w:rPr>
      </w:r>
      <w:r w:rsidRPr="00B659D9">
        <w:rPr>
          <w:rFonts w:ascii="Tenorite" w:hAnsi="Tenorite"/>
          <w:sz w:val="20"/>
          <w:szCs w:val="20"/>
        </w:rPr>
        <w:fldChar w:fldCharType="separate"/>
      </w:r>
      <w:proofErr w:type="spellStart"/>
      <w:r w:rsidRPr="00B659D9">
        <w:rPr>
          <w:rStyle w:val="Lienhypertexte"/>
          <w:rFonts w:ascii="Tenorite" w:hAnsi="Tenorite"/>
          <w:sz w:val="20"/>
          <w:szCs w:val="20"/>
        </w:rPr>
        <w:t>BuSCA</w:t>
      </w:r>
      <w:proofErr w:type="spellEnd"/>
      <w:r w:rsidRPr="00B659D9">
        <w:rPr>
          <w:rStyle w:val="Lienhypertexte"/>
          <w:rFonts w:ascii="Tenorite" w:hAnsi="Tenorite"/>
          <w:sz w:val="20"/>
          <w:szCs w:val="20"/>
        </w:rPr>
        <w:t xml:space="preserve"> n°130</w:t>
      </w:r>
      <w:r w:rsidRPr="00B659D9">
        <w:rPr>
          <w:rFonts w:ascii="Tenorite" w:hAnsi="Tenorite"/>
          <w:sz w:val="20"/>
          <w:szCs w:val="20"/>
        </w:rPr>
        <w:fldChar w:fldCharType="end"/>
      </w:r>
      <w:bookmarkEnd w:id="1"/>
      <w:r w:rsidRPr="00B659D9">
        <w:rPr>
          <w:rFonts w:ascii="Tenorite" w:hAnsi="Tenorite"/>
          <w:sz w:val="20"/>
          <w:szCs w:val="20"/>
        </w:rPr>
        <w:t xml:space="preserve">– 3 avril 2025, Plateforme de surveillance de la chaîne alimentaire </w:t>
      </w:r>
    </w:p>
    <w:p w14:paraId="2085ED3D" w14:textId="77777777" w:rsidR="00B659D9" w:rsidRPr="00B659D9" w:rsidRDefault="00B659D9" w:rsidP="00B659D9">
      <w:pPr>
        <w:adjustRightInd w:val="0"/>
        <w:ind w:left="142"/>
        <w:jc w:val="both"/>
        <w:rPr>
          <w:rFonts w:ascii="Tenorite" w:hAnsi="Tenorite"/>
          <w:sz w:val="20"/>
          <w:szCs w:val="20"/>
        </w:rPr>
      </w:pPr>
      <w:hyperlink r:id="rId25" w:history="1">
        <w:proofErr w:type="spellStart"/>
        <w:r w:rsidRPr="00B659D9">
          <w:rPr>
            <w:rStyle w:val="Lienhypertexte"/>
            <w:rFonts w:ascii="Tenorite" w:hAnsi="Tenorite"/>
            <w:sz w:val="20"/>
            <w:szCs w:val="20"/>
          </w:rPr>
          <w:t>BuSCA</w:t>
        </w:r>
        <w:proofErr w:type="spellEnd"/>
        <w:r w:rsidRPr="00B659D9">
          <w:rPr>
            <w:rStyle w:val="Lienhypertexte"/>
            <w:rFonts w:ascii="Tenorite" w:hAnsi="Tenorite"/>
            <w:sz w:val="20"/>
            <w:szCs w:val="20"/>
          </w:rPr>
          <w:t xml:space="preserve"> n°131</w:t>
        </w:r>
      </w:hyperlink>
      <w:bookmarkEnd w:id="2"/>
      <w:r w:rsidRPr="00B659D9">
        <w:rPr>
          <w:rFonts w:ascii="Tenorite" w:hAnsi="Tenorite"/>
          <w:sz w:val="20"/>
          <w:szCs w:val="20"/>
        </w:rPr>
        <w:t>– 17 avril 2025, Plateforme de surveillance de la chaîne alimentaire</w:t>
      </w:r>
      <w:bookmarkStart w:id="3" w:name="_Hlk197515183"/>
    </w:p>
    <w:p w14:paraId="10B3F79D" w14:textId="725ACD61" w:rsidR="00B659D9" w:rsidRPr="00B659D9" w:rsidRDefault="00B659D9" w:rsidP="00B659D9">
      <w:pPr>
        <w:adjustRightInd w:val="0"/>
        <w:ind w:left="142"/>
        <w:jc w:val="both"/>
        <w:rPr>
          <w:rFonts w:ascii="Tenorite" w:eastAsia="SimSun" w:hAnsi="Tenorite" w:cs="SimianText-Orangutan"/>
          <w:color w:val="5D5541"/>
          <w:sz w:val="20"/>
          <w:szCs w:val="20"/>
          <w:lang w:eastAsia="zh-CN"/>
        </w:rPr>
      </w:pPr>
      <w:hyperlink r:id="rId26" w:history="1">
        <w:r w:rsidRPr="00B659D9">
          <w:rPr>
            <w:rStyle w:val="Lienhypertexte"/>
            <w:rFonts w:ascii="Tenorite" w:eastAsia="SimSun" w:hAnsi="Tenorite" w:cs="SimianText-Orangutan"/>
            <w:sz w:val="20"/>
            <w:szCs w:val="20"/>
            <w:lang w:eastAsia="zh-CN"/>
          </w:rPr>
          <w:t>Bulletin des vigilances</w:t>
        </w:r>
      </w:hyperlink>
      <w:bookmarkEnd w:id="3"/>
      <w:r w:rsidRPr="00B659D9">
        <w:rPr>
          <w:rFonts w:ascii="Tenorite" w:eastAsia="SimSun" w:hAnsi="Tenorite" w:cs="SimianText-Orangutan"/>
          <w:color w:val="5D5541"/>
          <w:sz w:val="20"/>
          <w:szCs w:val="20"/>
          <w:lang w:eastAsia="zh-CN"/>
        </w:rPr>
        <w:t>, numéro 25, Mai 2025</w:t>
      </w:r>
    </w:p>
    <w:p w14:paraId="6B945F17" w14:textId="4CEAFF52" w:rsidR="00767DBA" w:rsidRDefault="00767DBA" w:rsidP="001B42BB">
      <w:pPr>
        <w:spacing w:after="0" w:line="240" w:lineRule="auto"/>
        <w:ind w:left="284" w:hanging="142"/>
        <w:rPr>
          <w:rFonts w:ascii="Tenorite" w:hAnsi="Tenorite"/>
          <w:color w:val="C45911" w:themeColor="accent2" w:themeShade="BF"/>
          <w:sz w:val="20"/>
        </w:rPr>
      </w:pPr>
      <w:r>
        <w:rPr>
          <w:rFonts w:ascii="Tenorite" w:hAnsi="Tenorite"/>
          <w:color w:val="C45911" w:themeColor="accent2" w:themeShade="BF"/>
          <w:sz w:val="20"/>
        </w:rPr>
        <w:t>Contrôles officiels</w:t>
      </w:r>
    </w:p>
    <w:p w14:paraId="195FB1E0" w14:textId="2775C1B1" w:rsidR="001B42BB" w:rsidRPr="005F3EA3" w:rsidRDefault="002B7CB6" w:rsidP="00D160F0">
      <w:pPr>
        <w:spacing w:after="0" w:line="240" w:lineRule="auto"/>
        <w:ind w:left="284" w:hanging="142"/>
        <w:rPr>
          <w:rFonts w:ascii="Tenorite" w:hAnsi="Tenorite"/>
          <w:color w:val="C45911" w:themeColor="accent2" w:themeShade="BF"/>
          <w:sz w:val="20"/>
        </w:rPr>
      </w:pPr>
      <w:r w:rsidRPr="005F3EA3">
        <w:rPr>
          <w:rFonts w:ascii="Tenorite" w:hAnsi="Tenorite"/>
          <w:color w:val="C45911" w:themeColor="accent2" w:themeShade="BF"/>
          <w:sz w:val="20"/>
        </w:rPr>
        <w:t>Dangers biologiques /microbiologiques</w:t>
      </w:r>
    </w:p>
    <w:bookmarkStart w:id="4" w:name="_Hlk197514598"/>
    <w:p w14:paraId="3ACEEF2B" w14:textId="77777777" w:rsidR="00B659D9" w:rsidRDefault="00B659D9" w:rsidP="00D160F0">
      <w:pPr>
        <w:shd w:val="clear" w:color="auto" w:fill="FFFFFF"/>
        <w:spacing w:after="0" w:line="240" w:lineRule="auto"/>
        <w:ind w:left="142"/>
        <w:jc w:val="both"/>
        <w:rPr>
          <w:rFonts w:ascii="Tenorite" w:hAnsi="Tenorite" w:cs="Arial"/>
          <w:color w:val="000000" w:themeColor="text1"/>
          <w:sz w:val="20"/>
          <w:szCs w:val="20"/>
        </w:rPr>
      </w:pPr>
      <w:r w:rsidRPr="00B659D9">
        <w:rPr>
          <w:rFonts w:ascii="Tenorite" w:hAnsi="Tenorite" w:cs="Arial"/>
          <w:color w:val="000000" w:themeColor="text1"/>
          <w:sz w:val="20"/>
          <w:szCs w:val="20"/>
        </w:rPr>
        <w:fldChar w:fldCharType="begin"/>
      </w:r>
      <w:r w:rsidRPr="00B659D9">
        <w:rPr>
          <w:rFonts w:ascii="Tenorite" w:hAnsi="Tenorite" w:cs="Arial"/>
          <w:color w:val="000000" w:themeColor="text1"/>
          <w:sz w:val="20"/>
          <w:szCs w:val="20"/>
        </w:rPr>
        <w:instrText>HYPERLINK "https://www.anses.fr/sites/default/files/BIORISK2024-MPEX-0031.pdf" \t "_blank"</w:instrText>
      </w:r>
      <w:r w:rsidRPr="00B659D9">
        <w:rPr>
          <w:rFonts w:ascii="Tenorite" w:hAnsi="Tenorite" w:cs="Arial"/>
          <w:color w:val="000000" w:themeColor="text1"/>
          <w:sz w:val="20"/>
          <w:szCs w:val="20"/>
        </w:rPr>
      </w:r>
      <w:r w:rsidRPr="00B659D9">
        <w:rPr>
          <w:rFonts w:ascii="Tenorite" w:hAnsi="Tenorite" w:cs="Arial"/>
          <w:color w:val="000000" w:themeColor="text1"/>
          <w:sz w:val="20"/>
          <w:szCs w:val="20"/>
        </w:rPr>
        <w:fldChar w:fldCharType="separate"/>
      </w:r>
      <w:r w:rsidRPr="00B659D9">
        <w:rPr>
          <w:rStyle w:val="Lienhypertexte"/>
          <w:rFonts w:ascii="Tenorite" w:hAnsi="Tenorite"/>
          <w:sz w:val="20"/>
          <w:szCs w:val="20"/>
        </w:rPr>
        <w:t>Avis</w:t>
      </w:r>
      <w:r w:rsidRPr="00B659D9">
        <w:rPr>
          <w:rStyle w:val="Lienhypertexte"/>
          <w:rFonts w:ascii="Tenorite" w:hAnsi="Tenorite" w:cs="Arial"/>
          <w:color w:val="000000" w:themeColor="text1"/>
          <w:sz w:val="20"/>
          <w:szCs w:val="20"/>
        </w:rPr>
        <w:t xml:space="preserve"> relatif à la mise à jour de la fiche de description de danger biologique transmissible par </w:t>
      </w:r>
      <w:proofErr w:type="gramStart"/>
      <w:r w:rsidRPr="00B659D9">
        <w:rPr>
          <w:rStyle w:val="Lienhypertexte"/>
          <w:rFonts w:ascii="Tenorite" w:hAnsi="Tenorite" w:cs="Arial"/>
          <w:color w:val="000000" w:themeColor="text1"/>
          <w:sz w:val="20"/>
          <w:szCs w:val="20"/>
        </w:rPr>
        <w:t>les aliments relative</w:t>
      </w:r>
      <w:proofErr w:type="gramEnd"/>
      <w:r w:rsidRPr="00B659D9">
        <w:rPr>
          <w:rStyle w:val="Lienhypertexte"/>
          <w:rFonts w:ascii="Tenorite" w:hAnsi="Tenorite" w:cs="Arial"/>
          <w:color w:val="000000" w:themeColor="text1"/>
          <w:sz w:val="20"/>
          <w:szCs w:val="20"/>
        </w:rPr>
        <w:t xml:space="preserve"> aux Escherichia coli producteurs de </w:t>
      </w:r>
      <w:proofErr w:type="spellStart"/>
      <w:r w:rsidRPr="00B659D9">
        <w:rPr>
          <w:rStyle w:val="Lienhypertexte"/>
          <w:rFonts w:ascii="Tenorite" w:hAnsi="Tenorite" w:cs="Arial"/>
          <w:color w:val="000000" w:themeColor="text1"/>
          <w:sz w:val="20"/>
          <w:szCs w:val="20"/>
        </w:rPr>
        <w:t>shigatoxines</w:t>
      </w:r>
      <w:proofErr w:type="spellEnd"/>
      <w:r w:rsidRPr="00B659D9">
        <w:rPr>
          <w:rStyle w:val="Lienhypertexte"/>
          <w:rFonts w:ascii="Tenorite" w:hAnsi="Tenorite" w:cs="Arial"/>
          <w:color w:val="000000" w:themeColor="text1"/>
          <w:sz w:val="20"/>
          <w:szCs w:val="20"/>
        </w:rPr>
        <w:t xml:space="preserve"> (STEC)/Escherichia coli entérohémorragiques (EHEC)</w:t>
      </w:r>
      <w:r w:rsidRPr="00B659D9">
        <w:rPr>
          <w:rFonts w:ascii="Tenorite" w:hAnsi="Tenorite" w:cs="Arial"/>
          <w:color w:val="000000" w:themeColor="text1"/>
          <w:sz w:val="20"/>
          <w:szCs w:val="20"/>
        </w:rPr>
        <w:fldChar w:fldCharType="end"/>
      </w:r>
      <w:bookmarkEnd w:id="4"/>
      <w:r w:rsidRPr="00B659D9">
        <w:rPr>
          <w:rFonts w:ascii="Tenorite" w:hAnsi="Tenorite" w:cs="Arial"/>
          <w:color w:val="000000" w:themeColor="text1"/>
          <w:sz w:val="20"/>
          <w:szCs w:val="20"/>
        </w:rPr>
        <w:t xml:space="preserve"> – avis signé le 07/04/2025</w:t>
      </w:r>
    </w:p>
    <w:p w14:paraId="375FD0C8" w14:textId="77777777" w:rsidR="00D160F0" w:rsidRPr="00B659D9" w:rsidRDefault="00D160F0" w:rsidP="00D160F0">
      <w:pPr>
        <w:shd w:val="clear" w:color="auto" w:fill="FFFFFF"/>
        <w:spacing w:after="0" w:line="240" w:lineRule="auto"/>
        <w:ind w:left="142"/>
        <w:jc w:val="both"/>
        <w:rPr>
          <w:rFonts w:ascii="Tenorite" w:eastAsia="Times New Roman" w:hAnsi="Tenorite" w:cs="Times New Roman"/>
          <w:b/>
          <w:bCs/>
          <w:color w:val="636363"/>
          <w:sz w:val="20"/>
          <w:szCs w:val="20"/>
          <w:lang w:eastAsia="fr-FR"/>
        </w:rPr>
      </w:pPr>
    </w:p>
    <w:p w14:paraId="6FBE7995" w14:textId="77777777" w:rsidR="00767DBA" w:rsidRDefault="00767DBA" w:rsidP="001B42BB">
      <w:pPr>
        <w:spacing w:after="0" w:line="240" w:lineRule="auto"/>
        <w:ind w:left="284" w:hanging="142"/>
        <w:rPr>
          <w:rFonts w:ascii="Tenorite" w:hAnsi="Tenorite"/>
          <w:color w:val="C45911" w:themeColor="accent2" w:themeShade="BF"/>
          <w:sz w:val="20"/>
        </w:rPr>
      </w:pPr>
      <w:r>
        <w:rPr>
          <w:rFonts w:ascii="Tenorite" w:hAnsi="Tenorite"/>
          <w:color w:val="C45911" w:themeColor="accent2" w:themeShade="BF"/>
          <w:sz w:val="20"/>
        </w:rPr>
        <w:t>Entreposage</w:t>
      </w:r>
    </w:p>
    <w:p w14:paraId="7D1944E0" w14:textId="2C4BB729" w:rsidR="001B42BB" w:rsidRPr="005F3EA3" w:rsidRDefault="002B7CB6" w:rsidP="001B42BB">
      <w:pPr>
        <w:spacing w:after="0" w:line="240" w:lineRule="auto"/>
        <w:ind w:left="284" w:hanging="142"/>
        <w:rPr>
          <w:rFonts w:ascii="Tenorite" w:hAnsi="Tenorite"/>
          <w:color w:val="C45911" w:themeColor="accent2" w:themeShade="BF"/>
          <w:sz w:val="20"/>
        </w:rPr>
      </w:pPr>
      <w:r w:rsidRPr="005F3EA3">
        <w:rPr>
          <w:rFonts w:ascii="Tenorite" w:hAnsi="Tenorite"/>
          <w:color w:val="C45911" w:themeColor="accent2" w:themeShade="BF"/>
          <w:sz w:val="20"/>
        </w:rPr>
        <w:t>Fraudes (non exhaustif)</w:t>
      </w:r>
    </w:p>
    <w:p w14:paraId="4D744FC4" w14:textId="19A25B68" w:rsidR="001B42BB" w:rsidRPr="005F3EA3" w:rsidRDefault="002B7CB6" w:rsidP="001B42BB">
      <w:pPr>
        <w:spacing w:after="0" w:line="240" w:lineRule="auto"/>
        <w:ind w:left="284" w:hanging="142"/>
        <w:rPr>
          <w:rFonts w:ascii="Tenorite" w:hAnsi="Tenorite"/>
          <w:color w:val="C45911" w:themeColor="accent2" w:themeShade="BF"/>
          <w:sz w:val="20"/>
        </w:rPr>
      </w:pPr>
      <w:r w:rsidRPr="005F3EA3">
        <w:rPr>
          <w:rFonts w:ascii="Tenorite" w:hAnsi="Tenorite"/>
          <w:color w:val="C45911" w:themeColor="accent2" w:themeShade="BF"/>
          <w:sz w:val="20"/>
        </w:rPr>
        <w:t>Hygiène et GBPH</w:t>
      </w:r>
    </w:p>
    <w:p w14:paraId="0224FEEE" w14:textId="54F919B3" w:rsidR="002B7CB6" w:rsidRPr="005F3EA3" w:rsidRDefault="002B7CB6" w:rsidP="001B42BB">
      <w:pPr>
        <w:spacing w:after="0" w:line="240" w:lineRule="auto"/>
        <w:ind w:left="284" w:hanging="142"/>
        <w:rPr>
          <w:rFonts w:ascii="Tenorite" w:hAnsi="Tenorite"/>
          <w:color w:val="C45911" w:themeColor="accent2" w:themeShade="BF"/>
          <w:sz w:val="20"/>
        </w:rPr>
      </w:pPr>
      <w:r w:rsidRPr="005F3EA3">
        <w:rPr>
          <w:rFonts w:ascii="Tenorite" w:hAnsi="Tenorite"/>
          <w:color w:val="C45911" w:themeColor="accent2" w:themeShade="BF"/>
          <w:sz w:val="20"/>
        </w:rPr>
        <w:t>Transport</w:t>
      </w:r>
      <w:r w:rsidRPr="005F3EA3">
        <w:rPr>
          <w:rFonts w:ascii="Tenorite" w:hAnsi="Tenorite"/>
          <w:color w:val="C45911" w:themeColor="accent2" w:themeShade="BF"/>
          <w:sz w:val="20"/>
        </w:rPr>
        <w:tab/>
      </w:r>
    </w:p>
    <w:p w14:paraId="60549313" w14:textId="77777777" w:rsidR="001B42BB" w:rsidRPr="005F3EA3" w:rsidRDefault="001B42BB" w:rsidP="001B42BB">
      <w:pPr>
        <w:spacing w:after="0" w:line="240" w:lineRule="auto"/>
        <w:ind w:left="284" w:hanging="142"/>
        <w:rPr>
          <w:rFonts w:ascii="Tenorite" w:hAnsi="Tenorite"/>
          <w:color w:val="C45911" w:themeColor="accent2" w:themeShade="BF"/>
          <w:sz w:val="20"/>
        </w:rPr>
      </w:pPr>
    </w:p>
    <w:p w14:paraId="5417E9F6" w14:textId="6E2A768A" w:rsidR="002B7CB6" w:rsidRPr="005F3EA3" w:rsidRDefault="002B7CB6" w:rsidP="002B7CB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MARCHES (importation, modalités de commercialisation</w:t>
      </w:r>
      <w:r w:rsidR="00767DBA">
        <w:rPr>
          <w:rFonts w:ascii="Tenorite" w:hAnsi="Tenorite"/>
          <w:b/>
          <w:color w:val="833C0B" w:themeColor="accent2" w:themeShade="80"/>
          <w:sz w:val="24"/>
        </w:rPr>
        <w:t>, exportation</w:t>
      </w:r>
      <w:r w:rsidRPr="005F3EA3">
        <w:rPr>
          <w:rFonts w:ascii="Tenorite" w:hAnsi="Tenorite"/>
          <w:b/>
          <w:color w:val="833C0B" w:themeColor="accent2" w:themeShade="80"/>
          <w:sz w:val="24"/>
        </w:rPr>
        <w:t>)</w:t>
      </w:r>
    </w:p>
    <w:p w14:paraId="440D7C32" w14:textId="77777777" w:rsidR="00767DBA" w:rsidRDefault="00767DBA" w:rsidP="00767DBA">
      <w:pPr>
        <w:spacing w:after="0" w:line="240" w:lineRule="auto"/>
        <w:ind w:left="284" w:hanging="142"/>
        <w:rPr>
          <w:rFonts w:ascii="Tenorite" w:hAnsi="Tenorite"/>
          <w:color w:val="C45911" w:themeColor="accent2" w:themeShade="BF"/>
          <w:sz w:val="20"/>
        </w:rPr>
      </w:pPr>
      <w:r>
        <w:rPr>
          <w:rFonts w:ascii="Tenorite" w:hAnsi="Tenorite"/>
          <w:color w:val="C45911" w:themeColor="accent2" w:themeShade="BF"/>
          <w:sz w:val="20"/>
        </w:rPr>
        <w:t>Exportation</w:t>
      </w:r>
    </w:p>
    <w:p w14:paraId="5ABC6969" w14:textId="71D96304" w:rsidR="00767DBA" w:rsidRDefault="00767DBA" w:rsidP="00767DBA">
      <w:pPr>
        <w:spacing w:after="0" w:line="240" w:lineRule="auto"/>
        <w:ind w:left="284" w:hanging="142"/>
        <w:rPr>
          <w:rFonts w:ascii="Tenorite" w:hAnsi="Tenorite"/>
          <w:color w:val="C45911" w:themeColor="accent2" w:themeShade="BF"/>
          <w:sz w:val="20"/>
        </w:rPr>
      </w:pPr>
      <w:r>
        <w:rPr>
          <w:rFonts w:ascii="Tenorite" w:hAnsi="Tenorite"/>
          <w:color w:val="C45911" w:themeColor="accent2" w:themeShade="BF"/>
          <w:sz w:val="20"/>
        </w:rPr>
        <w:t>Importation</w:t>
      </w:r>
    </w:p>
    <w:p w14:paraId="32E88AE6" w14:textId="77777777" w:rsidR="00D160F0" w:rsidRDefault="00D160F0" w:rsidP="00767DBA">
      <w:pPr>
        <w:spacing w:after="0" w:line="240" w:lineRule="auto"/>
        <w:ind w:left="284" w:hanging="142"/>
        <w:rPr>
          <w:rFonts w:ascii="Tenorite" w:hAnsi="Tenorite"/>
          <w:color w:val="C45911" w:themeColor="accent2" w:themeShade="BF"/>
          <w:sz w:val="20"/>
        </w:rPr>
      </w:pPr>
    </w:p>
    <w:p w14:paraId="63DF5A7E" w14:textId="495779E1" w:rsidR="002B7CB6" w:rsidRPr="005F3EA3" w:rsidRDefault="002B7CB6" w:rsidP="001B42BB">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 xml:space="preserve">MATERIAUX </w:t>
      </w:r>
      <w:r w:rsidR="00767DBA">
        <w:rPr>
          <w:rFonts w:ascii="Tenorite" w:hAnsi="Tenorite"/>
          <w:b/>
          <w:color w:val="833C0B" w:themeColor="accent2" w:themeShade="80"/>
          <w:sz w:val="24"/>
        </w:rPr>
        <w:t xml:space="preserve">ET OBJETS </w:t>
      </w:r>
      <w:r w:rsidRPr="005F3EA3">
        <w:rPr>
          <w:rFonts w:ascii="Tenorite" w:hAnsi="Tenorite"/>
          <w:b/>
          <w:color w:val="833C0B" w:themeColor="accent2" w:themeShade="80"/>
          <w:sz w:val="24"/>
        </w:rPr>
        <w:t>AU CONTACT</w:t>
      </w:r>
    </w:p>
    <w:p w14:paraId="0A9F6E37" w14:textId="1E25715F" w:rsidR="002B7CB6" w:rsidRDefault="00D160F0" w:rsidP="002B7CB6">
      <w:pPr>
        <w:spacing w:line="240" w:lineRule="auto"/>
        <w:ind w:left="284" w:hanging="142"/>
        <w:rPr>
          <w:rFonts w:ascii="Tenorite" w:hAnsi="Tenorite"/>
          <w:b/>
        </w:rPr>
      </w:pPr>
      <w:r>
        <w:rPr>
          <w:rFonts w:ascii="Tenorite" w:hAnsi="Tenorite"/>
          <w:b/>
        </w:rPr>
        <w:t>/</w:t>
      </w:r>
    </w:p>
    <w:p w14:paraId="6A58FF82" w14:textId="03C8B2D3" w:rsidR="00767DBA" w:rsidRPr="005F3EA3" w:rsidRDefault="00767DBA" w:rsidP="00767DBA">
      <w:pPr>
        <w:shd w:val="clear" w:color="auto" w:fill="D9D9D9" w:themeFill="background1" w:themeFillShade="D9"/>
        <w:spacing w:after="0" w:line="240" w:lineRule="auto"/>
        <w:ind w:left="284" w:hanging="142"/>
        <w:rPr>
          <w:rFonts w:ascii="Tenorite" w:hAnsi="Tenorite"/>
          <w:b/>
          <w:color w:val="833C0B" w:themeColor="accent2" w:themeShade="80"/>
          <w:sz w:val="24"/>
        </w:rPr>
      </w:pPr>
      <w:r>
        <w:rPr>
          <w:rFonts w:ascii="Tenorite" w:hAnsi="Tenorite"/>
          <w:b/>
          <w:color w:val="833C0B" w:themeColor="accent2" w:themeShade="80"/>
          <w:sz w:val="24"/>
        </w:rPr>
        <w:t>CONDITIONNEMENT - EMBALLAGE</w:t>
      </w:r>
    </w:p>
    <w:p w14:paraId="1FAA7BB8" w14:textId="1D7B1EDC" w:rsidR="00767DBA" w:rsidRPr="005F3EA3" w:rsidRDefault="00D160F0" w:rsidP="002B7CB6">
      <w:pPr>
        <w:spacing w:line="240" w:lineRule="auto"/>
        <w:ind w:left="284" w:hanging="142"/>
        <w:rPr>
          <w:rFonts w:ascii="Tenorite" w:hAnsi="Tenorite"/>
          <w:b/>
        </w:rPr>
      </w:pPr>
      <w:r>
        <w:rPr>
          <w:rFonts w:ascii="Tenorite" w:hAnsi="Tenorite"/>
          <w:b/>
        </w:rPr>
        <w:t>/</w:t>
      </w:r>
    </w:p>
    <w:p w14:paraId="2153F0AD" w14:textId="77777777" w:rsidR="002B7CB6" w:rsidRPr="005F3EA3" w:rsidRDefault="002B7CB6" w:rsidP="001B42BB">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METROLOGIE</w:t>
      </w:r>
    </w:p>
    <w:p w14:paraId="2C44D545" w14:textId="175B8D21" w:rsidR="001B42BB" w:rsidRDefault="00D160F0" w:rsidP="002B7CB6">
      <w:pPr>
        <w:spacing w:line="240" w:lineRule="auto"/>
        <w:ind w:left="284" w:hanging="142"/>
        <w:rPr>
          <w:rFonts w:ascii="Tenorite" w:hAnsi="Tenorite"/>
          <w:b/>
        </w:rPr>
      </w:pPr>
      <w:r>
        <w:rPr>
          <w:rFonts w:ascii="Tenorite" w:hAnsi="Tenorite"/>
          <w:b/>
        </w:rPr>
        <w:t>/</w:t>
      </w:r>
    </w:p>
    <w:p w14:paraId="254D792C" w14:textId="45699711" w:rsidR="00767DBA" w:rsidRPr="005F3EA3" w:rsidRDefault="00767DBA" w:rsidP="00767DBA">
      <w:pPr>
        <w:shd w:val="clear" w:color="auto" w:fill="D9D9D9" w:themeFill="background1" w:themeFillShade="D9"/>
        <w:spacing w:after="0" w:line="240" w:lineRule="auto"/>
        <w:ind w:left="284" w:hanging="142"/>
        <w:rPr>
          <w:rFonts w:ascii="Tenorite" w:hAnsi="Tenorite"/>
          <w:b/>
          <w:color w:val="833C0B" w:themeColor="accent2" w:themeShade="80"/>
          <w:sz w:val="24"/>
        </w:rPr>
      </w:pPr>
      <w:r>
        <w:rPr>
          <w:rFonts w:ascii="Tenorite" w:hAnsi="Tenorite"/>
          <w:b/>
          <w:color w:val="833C0B" w:themeColor="accent2" w:themeShade="80"/>
          <w:sz w:val="24"/>
        </w:rPr>
        <w:t>NUTRITION – ALIMENTATION PARTICULIERE</w:t>
      </w:r>
    </w:p>
    <w:p w14:paraId="55728462" w14:textId="327E7031" w:rsidR="00767DBA" w:rsidRPr="005F3EA3" w:rsidRDefault="00D160F0" w:rsidP="002B7CB6">
      <w:pPr>
        <w:spacing w:line="240" w:lineRule="auto"/>
        <w:ind w:left="284" w:hanging="142"/>
        <w:rPr>
          <w:rFonts w:ascii="Tenorite" w:hAnsi="Tenorite"/>
          <w:b/>
        </w:rPr>
      </w:pPr>
      <w:r>
        <w:rPr>
          <w:rFonts w:ascii="Tenorite" w:hAnsi="Tenorite"/>
          <w:b/>
        </w:rPr>
        <w:t>/</w:t>
      </w:r>
    </w:p>
    <w:p w14:paraId="67B68949" w14:textId="77777777" w:rsidR="002B7CB6" w:rsidRPr="005F3EA3" w:rsidRDefault="002B7CB6" w:rsidP="001B42BB">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OGM</w:t>
      </w:r>
    </w:p>
    <w:p w14:paraId="159EBC79" w14:textId="77777777" w:rsidR="003237C3" w:rsidRPr="00DB3853" w:rsidRDefault="003237C3" w:rsidP="003237C3">
      <w:pPr>
        <w:pStyle w:val="Textebrut"/>
        <w:ind w:left="142"/>
        <w:jc w:val="both"/>
        <w:rPr>
          <w:rFonts w:ascii="Tenorite" w:hAnsi="Tenorite"/>
          <w:sz w:val="20"/>
          <w:szCs w:val="20"/>
        </w:rPr>
      </w:pPr>
      <w:hyperlink r:id="rId27" w:history="1">
        <w:r w:rsidRPr="00DB3853">
          <w:rPr>
            <w:rStyle w:val="Lienhypertexte"/>
            <w:rFonts w:ascii="Tenorite" w:hAnsi="Tenorite"/>
            <w:sz w:val="20"/>
            <w:szCs w:val="20"/>
          </w:rPr>
          <w:t>Avis</w:t>
        </w:r>
      </w:hyperlink>
      <w:r w:rsidRPr="00DB3853">
        <w:rPr>
          <w:rFonts w:ascii="Tenorite" w:hAnsi="Tenorite"/>
          <w:sz w:val="20"/>
          <w:szCs w:val="20"/>
        </w:rPr>
        <w:t xml:space="preserve"> relatif à une demande d’autorisation de mise sur le marché au titre du Règlement (CE) n°1829/2003, du soja génétiquement modifié MON 94637 développé pour être résistant à certains lépidoptères, pour l’importation, la transformation ainsi que l’utilisation en alimentation humaine et animale de cet OGM – avis signé le 14/03/2025</w:t>
      </w:r>
    </w:p>
    <w:p w14:paraId="05B12FD3" w14:textId="77777777" w:rsidR="003237C3" w:rsidRPr="00DB3853" w:rsidRDefault="003237C3" w:rsidP="003237C3">
      <w:pPr>
        <w:pStyle w:val="Titre3"/>
        <w:spacing w:before="0" w:beforeAutospacing="0" w:after="0" w:afterAutospacing="0"/>
        <w:ind w:left="142"/>
        <w:jc w:val="both"/>
        <w:rPr>
          <w:rFonts w:ascii="Tenorite" w:hAnsi="Tenorite"/>
          <w:sz w:val="20"/>
          <w:szCs w:val="20"/>
        </w:rPr>
      </w:pPr>
    </w:p>
    <w:p w14:paraId="7984582A" w14:textId="77777777" w:rsidR="003237C3" w:rsidRPr="00DB3853" w:rsidRDefault="003237C3" w:rsidP="003237C3">
      <w:pPr>
        <w:pStyle w:val="Titre3"/>
        <w:spacing w:before="0" w:beforeAutospacing="0" w:after="0" w:afterAutospacing="0"/>
        <w:ind w:left="142"/>
        <w:jc w:val="both"/>
        <w:rPr>
          <w:rFonts w:ascii="Tenorite" w:hAnsi="Tenorite"/>
          <w:sz w:val="20"/>
          <w:szCs w:val="20"/>
        </w:rPr>
      </w:pPr>
      <w:hyperlink r:id="rId28" w:history="1">
        <w:r w:rsidRPr="00DB3853">
          <w:rPr>
            <w:rStyle w:val="Lienhypertexte"/>
            <w:rFonts w:ascii="Tenorite" w:eastAsiaTheme="minorHAnsi" w:hAnsi="Tenorite" w:cstheme="minorBidi"/>
            <w:b w:val="0"/>
            <w:bCs w:val="0"/>
            <w:sz w:val="20"/>
            <w:szCs w:val="20"/>
          </w:rPr>
          <w:t>Décret</w:t>
        </w:r>
      </w:hyperlink>
      <w:r w:rsidRPr="00DB3853">
        <w:rPr>
          <w:rFonts w:ascii="Tenorite" w:eastAsiaTheme="minorHAnsi" w:hAnsi="Tenorite" w:cstheme="minorBidi"/>
          <w:b w:val="0"/>
          <w:bCs w:val="0"/>
          <w:sz w:val="20"/>
          <w:szCs w:val="20"/>
        </w:rPr>
        <w:t xml:space="preserve"> n° 2025-345 du 14 avril 2025 relatif à la modification de la liste des techniques d'obtention d'organismes génétiquement modifiés qui ont fait l'objet d'une utilisation traditionnelle et dont la sécurité pour la santé publique ou l'environnement est avérée depuis longtemps (JORF 16/04/2025)</w:t>
      </w:r>
    </w:p>
    <w:p w14:paraId="65372B08" w14:textId="77777777" w:rsidR="003237C3" w:rsidRPr="00DB3853" w:rsidRDefault="003237C3" w:rsidP="003237C3">
      <w:pPr>
        <w:pStyle w:val="Titre3"/>
        <w:spacing w:before="0" w:beforeAutospacing="0" w:after="0" w:afterAutospacing="0"/>
        <w:ind w:left="142"/>
        <w:jc w:val="both"/>
        <w:rPr>
          <w:rFonts w:ascii="Tenorite" w:hAnsi="Tenorite"/>
          <w:sz w:val="20"/>
          <w:szCs w:val="20"/>
        </w:rPr>
      </w:pPr>
    </w:p>
    <w:p w14:paraId="107AC1C7" w14:textId="77777777" w:rsidR="003237C3" w:rsidRPr="00DB3853" w:rsidRDefault="003237C3" w:rsidP="003237C3">
      <w:pPr>
        <w:pStyle w:val="Titre3"/>
        <w:spacing w:before="0" w:beforeAutospacing="0" w:after="0" w:afterAutospacing="0"/>
        <w:ind w:left="142"/>
        <w:jc w:val="both"/>
        <w:rPr>
          <w:rFonts w:ascii="Tenorite" w:eastAsiaTheme="minorHAnsi" w:hAnsi="Tenorite" w:cstheme="minorBidi"/>
          <w:b w:val="0"/>
          <w:bCs w:val="0"/>
          <w:i/>
          <w:iCs/>
          <w:sz w:val="20"/>
          <w:szCs w:val="20"/>
        </w:rPr>
      </w:pPr>
      <w:hyperlink r:id="rId29" w:history="1">
        <w:r w:rsidRPr="00DB3853">
          <w:rPr>
            <w:rStyle w:val="Lienhypertexte"/>
            <w:rFonts w:ascii="Tenorite" w:eastAsiaTheme="minorHAnsi" w:hAnsi="Tenorite" w:cstheme="minorBidi"/>
            <w:b w:val="0"/>
            <w:bCs w:val="0"/>
            <w:iCs/>
            <w:sz w:val="20"/>
            <w:szCs w:val="20"/>
          </w:rPr>
          <w:t>Décision</w:t>
        </w:r>
      </w:hyperlink>
      <w:r w:rsidRPr="00DB3853">
        <w:rPr>
          <w:rFonts w:ascii="Tenorite" w:eastAsiaTheme="minorHAnsi" w:hAnsi="Tenorite" w:cstheme="minorBidi"/>
          <w:b w:val="0"/>
          <w:bCs w:val="0"/>
          <w:iCs/>
          <w:sz w:val="20"/>
          <w:szCs w:val="20"/>
        </w:rPr>
        <w:t xml:space="preserve"> d’exécution (UE) 2025/692 de la Commission du 9 avril 2025 autorisant la mise sur le marché de produits contenant le maïs génétiquement modifié MON 94804, consistant en ce maïs ou produits à partir de celui-ci, conformément au règlement (CE) no 1829/2003 du Parlement européen et du Conseil (JOUE 11/04/2025)</w:t>
      </w:r>
    </w:p>
    <w:p w14:paraId="5068AA09" w14:textId="77777777" w:rsidR="003237C3" w:rsidRPr="00DB3853" w:rsidRDefault="003237C3" w:rsidP="003237C3">
      <w:pPr>
        <w:pStyle w:val="Titre3"/>
        <w:spacing w:before="0" w:beforeAutospacing="0" w:after="0" w:afterAutospacing="0"/>
        <w:ind w:left="142"/>
        <w:jc w:val="both"/>
        <w:rPr>
          <w:rFonts w:ascii="Tenorite" w:hAnsi="Tenorite"/>
          <w:sz w:val="20"/>
          <w:szCs w:val="20"/>
        </w:rPr>
      </w:pPr>
    </w:p>
    <w:p w14:paraId="5A5004B1" w14:textId="77777777" w:rsidR="003237C3" w:rsidRPr="00DB3853" w:rsidRDefault="003237C3" w:rsidP="003237C3">
      <w:pPr>
        <w:pStyle w:val="Titre3"/>
        <w:spacing w:before="0" w:beforeAutospacing="0" w:after="0" w:afterAutospacing="0"/>
        <w:ind w:left="142"/>
        <w:jc w:val="both"/>
        <w:rPr>
          <w:rFonts w:ascii="Tenorite" w:eastAsiaTheme="minorHAnsi" w:hAnsi="Tenorite" w:cstheme="minorBidi"/>
          <w:b w:val="0"/>
          <w:bCs w:val="0"/>
          <w:i/>
          <w:iCs/>
          <w:sz w:val="20"/>
          <w:szCs w:val="20"/>
        </w:rPr>
      </w:pPr>
      <w:hyperlink r:id="rId30" w:history="1">
        <w:r w:rsidRPr="00DB3853">
          <w:rPr>
            <w:rStyle w:val="Lienhypertexte"/>
            <w:rFonts w:ascii="Tenorite" w:eastAsiaTheme="minorHAnsi" w:hAnsi="Tenorite" w:cstheme="minorBidi"/>
            <w:b w:val="0"/>
            <w:bCs w:val="0"/>
            <w:iCs/>
            <w:sz w:val="20"/>
            <w:szCs w:val="20"/>
          </w:rPr>
          <w:t>Décision</w:t>
        </w:r>
      </w:hyperlink>
      <w:r w:rsidRPr="00DB3853">
        <w:rPr>
          <w:rFonts w:ascii="Tenorite" w:eastAsiaTheme="minorHAnsi" w:hAnsi="Tenorite" w:cstheme="minorBidi"/>
          <w:b w:val="0"/>
          <w:bCs w:val="0"/>
          <w:iCs/>
          <w:sz w:val="20"/>
          <w:szCs w:val="20"/>
        </w:rPr>
        <w:t xml:space="preserve"> d’exécution (UE) 2025/694 de la Commission du 9 avril 2025 autorisant la mise sur le marché de produits contenant du maïs génétiquement modifié MON 95275, consistant en ce maïs ou produits à partir de celui-ci, conformément au règlement (CE) no 1829/2003 du Parlement européen et du Conseil (JOUE 11/04/2025)</w:t>
      </w:r>
    </w:p>
    <w:p w14:paraId="4AD0E9F2" w14:textId="77777777" w:rsidR="003237C3" w:rsidRPr="00DB3853" w:rsidRDefault="003237C3" w:rsidP="003237C3">
      <w:pPr>
        <w:pStyle w:val="Titre3"/>
        <w:spacing w:before="0" w:beforeAutospacing="0" w:after="0" w:afterAutospacing="0"/>
        <w:ind w:left="142"/>
        <w:jc w:val="both"/>
        <w:rPr>
          <w:rFonts w:ascii="Tenorite" w:eastAsiaTheme="minorHAnsi" w:hAnsi="Tenorite" w:cstheme="minorBidi"/>
          <w:b w:val="0"/>
          <w:bCs w:val="0"/>
          <w:i/>
          <w:iCs/>
          <w:sz w:val="20"/>
          <w:szCs w:val="20"/>
        </w:rPr>
      </w:pPr>
    </w:p>
    <w:p w14:paraId="4BABB51E" w14:textId="77777777" w:rsidR="003237C3" w:rsidRPr="00DB3853" w:rsidRDefault="003237C3" w:rsidP="003237C3">
      <w:pPr>
        <w:pStyle w:val="Titre3"/>
        <w:spacing w:before="0" w:beforeAutospacing="0" w:after="0" w:afterAutospacing="0"/>
        <w:ind w:left="142"/>
        <w:jc w:val="both"/>
        <w:rPr>
          <w:rFonts w:ascii="Tenorite" w:eastAsiaTheme="minorHAnsi" w:hAnsi="Tenorite" w:cstheme="minorBidi"/>
          <w:b w:val="0"/>
          <w:bCs w:val="0"/>
          <w:i/>
          <w:iCs/>
          <w:sz w:val="20"/>
          <w:szCs w:val="20"/>
        </w:rPr>
      </w:pPr>
      <w:hyperlink r:id="rId31" w:history="1">
        <w:r w:rsidRPr="00DB3853">
          <w:rPr>
            <w:rStyle w:val="Lienhypertexte"/>
            <w:rFonts w:ascii="Tenorite" w:eastAsiaTheme="minorHAnsi" w:hAnsi="Tenorite" w:cstheme="minorBidi"/>
            <w:b w:val="0"/>
            <w:bCs w:val="0"/>
            <w:iCs/>
            <w:sz w:val="20"/>
            <w:szCs w:val="20"/>
          </w:rPr>
          <w:t>Décision</w:t>
        </w:r>
      </w:hyperlink>
      <w:r w:rsidRPr="00DB3853">
        <w:rPr>
          <w:rFonts w:ascii="Tenorite" w:eastAsiaTheme="minorHAnsi" w:hAnsi="Tenorite" w:cstheme="minorBidi"/>
          <w:b w:val="0"/>
          <w:bCs w:val="0"/>
          <w:iCs/>
          <w:sz w:val="20"/>
          <w:szCs w:val="20"/>
        </w:rPr>
        <w:t xml:space="preserve"> d’exécution (UE) 2025/699 de la Commission du 9 avril 2025 autorisant la mise sur le marché de produits contenant du maïs génétiquement modifié DP910521, consistant en ce maïs ou produits à partir de celui-ci, en application du règlement (CE) no 1829/2003 du Parlement européen et du Conseil (JOUE 11/04/2025)</w:t>
      </w:r>
    </w:p>
    <w:p w14:paraId="60BDB1D3" w14:textId="77777777" w:rsidR="001B42BB" w:rsidRPr="005F3EA3" w:rsidRDefault="001B42BB" w:rsidP="002B7CB6">
      <w:pPr>
        <w:spacing w:after="0" w:line="240" w:lineRule="auto"/>
        <w:ind w:left="284" w:hanging="142"/>
        <w:rPr>
          <w:rFonts w:ascii="Tenorite" w:hAnsi="Tenorite"/>
          <w:b/>
        </w:rPr>
      </w:pPr>
    </w:p>
    <w:p w14:paraId="685BD29A" w14:textId="48D81777" w:rsidR="002B7CB6" w:rsidRPr="005F3EA3" w:rsidRDefault="00767DBA" w:rsidP="001B42BB">
      <w:pPr>
        <w:shd w:val="clear" w:color="auto" w:fill="D9D9D9" w:themeFill="background1" w:themeFillShade="D9"/>
        <w:spacing w:after="0" w:line="240" w:lineRule="auto"/>
        <w:ind w:left="284" w:hanging="142"/>
        <w:rPr>
          <w:rFonts w:ascii="Tenorite" w:hAnsi="Tenorite"/>
          <w:b/>
          <w:color w:val="833C0B" w:themeColor="accent2" w:themeShade="80"/>
          <w:sz w:val="24"/>
        </w:rPr>
      </w:pPr>
      <w:r>
        <w:rPr>
          <w:rFonts w:ascii="Tenorite" w:hAnsi="Tenorite"/>
          <w:b/>
          <w:color w:val="833C0B" w:themeColor="accent2" w:themeShade="80"/>
          <w:sz w:val="24"/>
        </w:rPr>
        <w:t xml:space="preserve">PRODUITS BIOLOGIQUES </w:t>
      </w:r>
    </w:p>
    <w:p w14:paraId="06697625" w14:textId="37A2E709" w:rsidR="001B42BB" w:rsidRPr="00D160F0" w:rsidRDefault="00D160F0" w:rsidP="001B42BB">
      <w:pPr>
        <w:spacing w:after="0" w:line="240" w:lineRule="auto"/>
        <w:ind w:left="284" w:hanging="142"/>
        <w:rPr>
          <w:rFonts w:ascii="Tenorite" w:hAnsi="Tenorite"/>
          <w:b/>
        </w:rPr>
      </w:pPr>
      <w:r w:rsidRPr="00D160F0">
        <w:rPr>
          <w:rFonts w:ascii="Tenorite" w:hAnsi="Tenorite"/>
          <w:b/>
        </w:rPr>
        <w:t>/</w:t>
      </w:r>
    </w:p>
    <w:p w14:paraId="66D14657" w14:textId="77777777" w:rsidR="00767DBA" w:rsidRPr="005F3EA3" w:rsidRDefault="00767DBA" w:rsidP="001B42BB">
      <w:pPr>
        <w:spacing w:after="0" w:line="240" w:lineRule="auto"/>
        <w:ind w:left="284" w:hanging="142"/>
        <w:rPr>
          <w:rFonts w:ascii="Tenorite" w:hAnsi="Tenorite"/>
          <w:color w:val="C45911" w:themeColor="accent2" w:themeShade="BF"/>
          <w:sz w:val="20"/>
        </w:rPr>
      </w:pPr>
    </w:p>
    <w:p w14:paraId="54E176FF" w14:textId="679FF40F" w:rsidR="00767DBA" w:rsidRPr="005F3EA3" w:rsidRDefault="00767DBA" w:rsidP="00767DBA">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 xml:space="preserve">SIGNES </w:t>
      </w:r>
      <w:r>
        <w:rPr>
          <w:rFonts w:ascii="Tenorite" w:hAnsi="Tenorite"/>
          <w:b/>
          <w:color w:val="833C0B" w:themeColor="accent2" w:themeShade="80"/>
          <w:sz w:val="24"/>
        </w:rPr>
        <w:t xml:space="preserve">OFFICIELS DE </w:t>
      </w:r>
      <w:r w:rsidRPr="005F3EA3">
        <w:rPr>
          <w:rFonts w:ascii="Tenorite" w:hAnsi="Tenorite"/>
          <w:b/>
          <w:color w:val="833C0B" w:themeColor="accent2" w:themeShade="80"/>
          <w:sz w:val="24"/>
        </w:rPr>
        <w:t>QUALITE</w:t>
      </w:r>
    </w:p>
    <w:p w14:paraId="004E32DE" w14:textId="7F8618EF" w:rsidR="005F3EA3" w:rsidRDefault="00D160F0" w:rsidP="002B7CB6">
      <w:pPr>
        <w:spacing w:after="0" w:line="240" w:lineRule="auto"/>
        <w:ind w:left="284" w:hanging="142"/>
        <w:rPr>
          <w:rFonts w:ascii="Tenorite" w:hAnsi="Tenorite"/>
          <w:b/>
        </w:rPr>
      </w:pPr>
      <w:r>
        <w:rPr>
          <w:rFonts w:ascii="Tenorite" w:hAnsi="Tenorite"/>
          <w:b/>
        </w:rPr>
        <w:t>/</w:t>
      </w:r>
    </w:p>
    <w:p w14:paraId="4446527A" w14:textId="77777777" w:rsidR="00D160F0" w:rsidRPr="005F3EA3" w:rsidRDefault="00D160F0" w:rsidP="002B7CB6">
      <w:pPr>
        <w:spacing w:after="0" w:line="240" w:lineRule="auto"/>
        <w:ind w:left="284" w:hanging="142"/>
        <w:rPr>
          <w:rFonts w:ascii="Tenorite" w:hAnsi="Tenorite"/>
          <w:b/>
        </w:rPr>
      </w:pPr>
    </w:p>
    <w:p w14:paraId="415BEA78" w14:textId="74F4CD00" w:rsidR="002B7CB6" w:rsidRPr="005F3EA3" w:rsidRDefault="002B7CB6" w:rsidP="001B42BB">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TRAITEMENT</w:t>
      </w:r>
      <w:r w:rsidR="00767DBA">
        <w:rPr>
          <w:rFonts w:ascii="Tenorite" w:hAnsi="Tenorite"/>
          <w:b/>
          <w:color w:val="833C0B" w:themeColor="accent2" w:themeShade="80"/>
          <w:sz w:val="24"/>
        </w:rPr>
        <w:t xml:space="preserve"> DES DENREES ALIEMNTAIRES </w:t>
      </w:r>
    </w:p>
    <w:p w14:paraId="7E3ECBE4" w14:textId="77777777" w:rsidR="001B42BB" w:rsidRPr="005F3EA3" w:rsidRDefault="002B7CB6" w:rsidP="001B42BB">
      <w:pPr>
        <w:spacing w:after="0" w:line="240" w:lineRule="auto"/>
        <w:ind w:left="284" w:hanging="142"/>
        <w:rPr>
          <w:rFonts w:ascii="Tenorite" w:hAnsi="Tenorite"/>
          <w:color w:val="C45911" w:themeColor="accent2" w:themeShade="BF"/>
          <w:sz w:val="20"/>
        </w:rPr>
      </w:pPr>
      <w:r w:rsidRPr="005F3EA3">
        <w:rPr>
          <w:rFonts w:ascii="Tenorite" w:hAnsi="Tenorite"/>
          <w:color w:val="C45911" w:themeColor="accent2" w:themeShade="BF"/>
          <w:sz w:val="20"/>
        </w:rPr>
        <w:t>Fumigation</w:t>
      </w:r>
    </w:p>
    <w:p w14:paraId="4A20E2E9" w14:textId="77777777" w:rsidR="001B42BB" w:rsidRPr="005F3EA3" w:rsidRDefault="002B7CB6" w:rsidP="001B42BB">
      <w:pPr>
        <w:spacing w:after="0" w:line="240" w:lineRule="auto"/>
        <w:ind w:left="284" w:hanging="142"/>
        <w:rPr>
          <w:rFonts w:ascii="Tenorite" w:hAnsi="Tenorite"/>
          <w:color w:val="C45911" w:themeColor="accent2" w:themeShade="BF"/>
          <w:sz w:val="20"/>
        </w:rPr>
      </w:pPr>
      <w:r w:rsidRPr="005F3EA3">
        <w:rPr>
          <w:rFonts w:ascii="Tenorite" w:hAnsi="Tenorite"/>
          <w:color w:val="C45911" w:themeColor="accent2" w:themeShade="BF"/>
          <w:sz w:val="20"/>
        </w:rPr>
        <w:t>Ionisation</w:t>
      </w:r>
    </w:p>
    <w:p w14:paraId="6AADF2DD" w14:textId="77777777" w:rsidR="001B42BB" w:rsidRPr="005F3EA3" w:rsidRDefault="002B7CB6" w:rsidP="001B42BB">
      <w:pPr>
        <w:spacing w:after="0" w:line="240" w:lineRule="auto"/>
        <w:ind w:left="284" w:hanging="142"/>
        <w:rPr>
          <w:rFonts w:ascii="Tenorite" w:hAnsi="Tenorite"/>
          <w:color w:val="C45911" w:themeColor="accent2" w:themeShade="BF"/>
          <w:sz w:val="20"/>
        </w:rPr>
      </w:pPr>
      <w:r w:rsidRPr="005F3EA3">
        <w:rPr>
          <w:rFonts w:ascii="Tenorite" w:hAnsi="Tenorite"/>
          <w:color w:val="C45911" w:themeColor="accent2" w:themeShade="BF"/>
          <w:sz w:val="20"/>
        </w:rPr>
        <w:t xml:space="preserve">Lyophilisation  </w:t>
      </w:r>
    </w:p>
    <w:p w14:paraId="2E4AE98B" w14:textId="77777777" w:rsidR="001B42BB" w:rsidRPr="005F3EA3" w:rsidRDefault="002B7CB6" w:rsidP="001B42BB">
      <w:pPr>
        <w:spacing w:after="0" w:line="240" w:lineRule="auto"/>
        <w:ind w:left="284" w:hanging="142"/>
        <w:rPr>
          <w:rFonts w:ascii="Tenorite" w:hAnsi="Tenorite"/>
          <w:color w:val="C45911" w:themeColor="accent2" w:themeShade="BF"/>
          <w:sz w:val="20"/>
        </w:rPr>
      </w:pPr>
      <w:r w:rsidRPr="005F3EA3">
        <w:rPr>
          <w:rFonts w:ascii="Tenorite" w:hAnsi="Tenorite"/>
          <w:color w:val="C45911" w:themeColor="accent2" w:themeShade="BF"/>
          <w:sz w:val="20"/>
        </w:rPr>
        <w:t>Surgélation</w:t>
      </w:r>
    </w:p>
    <w:p w14:paraId="652FAA4C" w14:textId="77777777" w:rsidR="00D025D4" w:rsidRPr="005F3EA3" w:rsidRDefault="00D025D4" w:rsidP="00D025D4">
      <w:pPr>
        <w:spacing w:after="0" w:line="276" w:lineRule="auto"/>
        <w:ind w:left="709" w:hanging="283"/>
        <w:rPr>
          <w:rFonts w:ascii="Tenorite" w:hAnsi="Tenorite" w:cs="Tahoma"/>
          <w:b/>
          <w:color w:val="EF671A"/>
          <w:sz w:val="8"/>
          <w:szCs w:val="8"/>
          <w:u w:val="single"/>
        </w:rPr>
      </w:pPr>
    </w:p>
    <w:p w14:paraId="70A5146D" w14:textId="77777777" w:rsidR="00D025D4" w:rsidRPr="002D342B" w:rsidRDefault="00D025D4" w:rsidP="00D025D4">
      <w:pPr>
        <w:spacing w:after="0" w:line="276" w:lineRule="auto"/>
        <w:ind w:left="426" w:hanging="283"/>
        <w:rPr>
          <w:rFonts w:ascii="Tenorite" w:hAnsi="Tenorite" w:cs="Tahoma"/>
          <w:b/>
          <w:color w:val="EF671A"/>
          <w:sz w:val="24"/>
          <w:szCs w:val="24"/>
          <w:u w:val="single"/>
        </w:rPr>
      </w:pPr>
      <w:r w:rsidRPr="005F3EA3">
        <w:rPr>
          <w:rFonts w:ascii="Tenorite" w:hAnsi="Tenorite" w:cs="Tahoma"/>
          <w:b/>
          <w:color w:val="EF671A"/>
          <w:sz w:val="32"/>
          <w:szCs w:val="32"/>
          <w:u w:val="single"/>
        </w:rPr>
        <w:t>Partie 2 : Règlementation verticale</w:t>
      </w:r>
      <w:r w:rsidRPr="005F3EA3">
        <w:rPr>
          <w:rFonts w:ascii="Tenorite" w:hAnsi="Tenorite" w:cs="Tahoma"/>
          <w:b/>
          <w:color w:val="EF671A"/>
          <w:sz w:val="32"/>
          <w:szCs w:val="32"/>
        </w:rPr>
        <w:t xml:space="preserve"> : </w:t>
      </w:r>
      <w:r w:rsidRPr="002D342B">
        <w:rPr>
          <w:rFonts w:ascii="Tenorite" w:hAnsi="Tenorite" w:cs="Tahoma"/>
          <w:b/>
          <w:color w:val="EF671A"/>
          <w:sz w:val="24"/>
          <w:szCs w:val="24"/>
        </w:rPr>
        <w:t>Secteurs d’activité (Matières traitées et produits finis)</w:t>
      </w:r>
    </w:p>
    <w:p w14:paraId="227D4157" w14:textId="2F88B25E" w:rsidR="00D025D4" w:rsidRPr="005F3EA3" w:rsidRDefault="00E464D9" w:rsidP="00D025D4">
      <w:pPr>
        <w:shd w:val="clear" w:color="auto" w:fill="D9D9D9" w:themeFill="background1" w:themeFillShade="D9"/>
        <w:spacing w:after="0"/>
        <w:ind w:left="426" w:hanging="283"/>
        <w:rPr>
          <w:rFonts w:ascii="Tenorite" w:hAnsi="Tenorite"/>
          <w:b/>
          <w:color w:val="833C0B" w:themeColor="accent2" w:themeShade="80"/>
          <w:sz w:val="24"/>
          <w:szCs w:val="24"/>
        </w:rPr>
      </w:pPr>
      <w:r>
        <w:rPr>
          <w:rFonts w:ascii="Tenorite" w:hAnsi="Tenorite"/>
          <w:b/>
          <w:color w:val="833C0B" w:themeColor="accent2" w:themeShade="80"/>
          <w:sz w:val="24"/>
          <w:szCs w:val="24"/>
        </w:rPr>
        <w:t>CEREALES ET PRODUITS DU GRAIN</w:t>
      </w:r>
    </w:p>
    <w:p w14:paraId="5528EBC8" w14:textId="77777777" w:rsidR="00E464D9" w:rsidRPr="005F3EA3" w:rsidRDefault="00E464D9" w:rsidP="00D160F0">
      <w:pPr>
        <w:spacing w:after="0" w:line="240" w:lineRule="auto"/>
        <w:ind w:left="426" w:hanging="284"/>
        <w:rPr>
          <w:rFonts w:ascii="Tenorite" w:hAnsi="Tenorite"/>
          <w:color w:val="C45911" w:themeColor="accent2" w:themeShade="BF"/>
          <w:sz w:val="20"/>
          <w:szCs w:val="18"/>
        </w:rPr>
      </w:pPr>
      <w:r w:rsidRPr="005F3EA3">
        <w:rPr>
          <w:rFonts w:ascii="Tenorite" w:hAnsi="Tenorite"/>
          <w:color w:val="C45911" w:themeColor="accent2" w:themeShade="BF"/>
          <w:sz w:val="20"/>
          <w:szCs w:val="18"/>
        </w:rPr>
        <w:t>Céréales</w:t>
      </w:r>
    </w:p>
    <w:p w14:paraId="1DEA3D7C" w14:textId="77777777" w:rsidR="00E464D9" w:rsidRPr="005F3EA3" w:rsidRDefault="00E464D9" w:rsidP="00D160F0">
      <w:pPr>
        <w:spacing w:after="0" w:line="240" w:lineRule="auto"/>
        <w:ind w:left="426" w:hanging="284"/>
        <w:rPr>
          <w:rFonts w:ascii="Tenorite" w:hAnsi="Tenorite"/>
          <w:color w:val="C45911" w:themeColor="accent2" w:themeShade="BF"/>
          <w:sz w:val="20"/>
          <w:szCs w:val="18"/>
        </w:rPr>
      </w:pPr>
      <w:r w:rsidRPr="005F3EA3">
        <w:rPr>
          <w:rFonts w:ascii="Tenorite" w:hAnsi="Tenorite"/>
          <w:color w:val="C45911" w:themeColor="accent2" w:themeShade="BF"/>
          <w:sz w:val="20"/>
          <w:szCs w:val="18"/>
        </w:rPr>
        <w:t>Farines</w:t>
      </w:r>
    </w:p>
    <w:p w14:paraId="3E45921E" w14:textId="77777777" w:rsidR="00E464D9" w:rsidRPr="005F3EA3" w:rsidRDefault="00E464D9" w:rsidP="00D160F0">
      <w:pPr>
        <w:spacing w:after="0" w:line="240" w:lineRule="auto"/>
        <w:ind w:left="426" w:hanging="284"/>
        <w:rPr>
          <w:rFonts w:ascii="Tenorite" w:hAnsi="Tenorite"/>
          <w:color w:val="C45911" w:themeColor="accent2" w:themeShade="BF"/>
          <w:sz w:val="20"/>
          <w:szCs w:val="18"/>
        </w:rPr>
      </w:pPr>
      <w:r w:rsidRPr="005F3EA3">
        <w:rPr>
          <w:rFonts w:ascii="Tenorite" w:hAnsi="Tenorite"/>
          <w:color w:val="C45911" w:themeColor="accent2" w:themeShade="BF"/>
          <w:sz w:val="20"/>
          <w:szCs w:val="18"/>
        </w:rPr>
        <w:t>Pains, viennoiseries</w:t>
      </w:r>
    </w:p>
    <w:p w14:paraId="31CA8B86" w14:textId="77777777" w:rsidR="00E464D9" w:rsidRPr="005F3EA3" w:rsidRDefault="00E464D9" w:rsidP="00D160F0">
      <w:pPr>
        <w:spacing w:after="0" w:line="240" w:lineRule="auto"/>
        <w:ind w:left="426" w:hanging="284"/>
        <w:rPr>
          <w:rFonts w:ascii="Tenorite" w:hAnsi="Tenorite"/>
          <w:color w:val="C45911" w:themeColor="accent2" w:themeShade="BF"/>
          <w:sz w:val="20"/>
          <w:szCs w:val="18"/>
        </w:rPr>
      </w:pPr>
      <w:r w:rsidRPr="005F3EA3">
        <w:rPr>
          <w:rFonts w:ascii="Tenorite" w:hAnsi="Tenorite"/>
          <w:color w:val="C45911" w:themeColor="accent2" w:themeShade="BF"/>
          <w:sz w:val="20"/>
          <w:szCs w:val="18"/>
        </w:rPr>
        <w:t>Pâtisseries</w:t>
      </w:r>
    </w:p>
    <w:p w14:paraId="42576B6C" w14:textId="77777777" w:rsidR="00E464D9" w:rsidRDefault="00E464D9" w:rsidP="00D160F0">
      <w:pPr>
        <w:spacing w:after="0" w:line="240" w:lineRule="auto"/>
        <w:ind w:left="426" w:hanging="284"/>
        <w:rPr>
          <w:rFonts w:ascii="Tenorite" w:hAnsi="Tenorite"/>
          <w:color w:val="C45911" w:themeColor="accent2" w:themeShade="BF"/>
          <w:sz w:val="20"/>
          <w:szCs w:val="18"/>
        </w:rPr>
      </w:pPr>
      <w:r w:rsidRPr="005F3EA3">
        <w:rPr>
          <w:rFonts w:ascii="Tenorite" w:hAnsi="Tenorite"/>
          <w:color w:val="C45911" w:themeColor="accent2" w:themeShade="BF"/>
          <w:sz w:val="20"/>
          <w:szCs w:val="18"/>
        </w:rPr>
        <w:t>Signes officiels de qualité</w:t>
      </w:r>
    </w:p>
    <w:p w14:paraId="65715473" w14:textId="77777777" w:rsidR="00D160F0" w:rsidRDefault="00D160F0" w:rsidP="00D160F0">
      <w:pPr>
        <w:spacing w:after="0" w:line="240" w:lineRule="auto"/>
        <w:ind w:left="426" w:hanging="284"/>
        <w:rPr>
          <w:rFonts w:ascii="Tenorite" w:hAnsi="Tenorite"/>
          <w:color w:val="C45911" w:themeColor="accent2" w:themeShade="BF"/>
          <w:sz w:val="20"/>
          <w:szCs w:val="18"/>
        </w:rPr>
      </w:pPr>
    </w:p>
    <w:p w14:paraId="57B86A9D" w14:textId="2320FAA8" w:rsidR="00E464D9" w:rsidRPr="005F3EA3" w:rsidRDefault="00E464D9" w:rsidP="00E464D9">
      <w:pPr>
        <w:shd w:val="clear" w:color="auto" w:fill="D9D9D9" w:themeFill="background1" w:themeFillShade="D9"/>
        <w:spacing w:after="0"/>
        <w:ind w:left="426" w:hanging="283"/>
        <w:rPr>
          <w:rFonts w:ascii="Tenorite" w:hAnsi="Tenorite"/>
          <w:b/>
        </w:rPr>
      </w:pPr>
      <w:r>
        <w:rPr>
          <w:rFonts w:ascii="Tenorite" w:hAnsi="Tenorite"/>
          <w:b/>
          <w:color w:val="833C0B" w:themeColor="accent2" w:themeShade="80"/>
          <w:sz w:val="24"/>
          <w:szCs w:val="24"/>
        </w:rPr>
        <w:t xml:space="preserve">HUILES ET CORPS GRAS </w:t>
      </w:r>
      <w:r w:rsidRPr="005F3EA3">
        <w:rPr>
          <w:rFonts w:ascii="Tenorite" w:hAnsi="Tenorite"/>
          <w:b/>
        </w:rPr>
        <w:t xml:space="preserve"> </w:t>
      </w:r>
    </w:p>
    <w:p w14:paraId="6541BAAC" w14:textId="66E52376" w:rsidR="00E464D9" w:rsidRPr="005F3EA3" w:rsidRDefault="00E464D9" w:rsidP="00D160F0">
      <w:pPr>
        <w:spacing w:after="0" w:line="240" w:lineRule="auto"/>
        <w:ind w:left="426" w:hanging="284"/>
        <w:rPr>
          <w:rFonts w:ascii="Tenorite" w:hAnsi="Tenorite"/>
          <w:color w:val="C45911" w:themeColor="accent2" w:themeShade="BF"/>
          <w:sz w:val="20"/>
          <w:szCs w:val="18"/>
        </w:rPr>
      </w:pPr>
      <w:r w:rsidRPr="005F3EA3">
        <w:rPr>
          <w:rFonts w:ascii="Tenorite" w:hAnsi="Tenorite"/>
          <w:color w:val="C45911" w:themeColor="accent2" w:themeShade="BF"/>
          <w:sz w:val="20"/>
          <w:szCs w:val="18"/>
        </w:rPr>
        <w:t>Huiles et graisses</w:t>
      </w:r>
    </w:p>
    <w:p w14:paraId="77FF2622" w14:textId="77777777" w:rsidR="00E464D9" w:rsidRPr="00D160F0" w:rsidRDefault="00E464D9" w:rsidP="00D160F0">
      <w:pPr>
        <w:spacing w:after="0" w:line="240" w:lineRule="auto"/>
        <w:ind w:left="426" w:hanging="284"/>
        <w:rPr>
          <w:rFonts w:ascii="Tenorite" w:hAnsi="Tenorite"/>
          <w:color w:val="C45911" w:themeColor="accent2" w:themeShade="BF"/>
          <w:sz w:val="20"/>
          <w:szCs w:val="18"/>
        </w:rPr>
      </w:pPr>
    </w:p>
    <w:p w14:paraId="7CCFE82A" w14:textId="77777777" w:rsidR="00D025D4" w:rsidRPr="005F3EA3" w:rsidRDefault="00D025D4" w:rsidP="00D025D4">
      <w:pPr>
        <w:shd w:val="clear" w:color="auto" w:fill="D9D9D9" w:themeFill="background1" w:themeFillShade="D9"/>
        <w:spacing w:after="0"/>
        <w:ind w:left="426" w:hanging="283"/>
        <w:rPr>
          <w:rFonts w:ascii="Tenorite" w:hAnsi="Tenorite"/>
          <w:b/>
        </w:rPr>
      </w:pPr>
      <w:r w:rsidRPr="005F3EA3">
        <w:rPr>
          <w:rFonts w:ascii="Tenorite" w:hAnsi="Tenorite"/>
          <w:b/>
          <w:color w:val="833C0B" w:themeColor="accent2" w:themeShade="80"/>
          <w:sz w:val="24"/>
          <w:szCs w:val="24"/>
        </w:rPr>
        <w:t>LAITS ET PRODUITS LAITIERS</w:t>
      </w:r>
      <w:r w:rsidRPr="005F3EA3">
        <w:rPr>
          <w:rFonts w:ascii="Tenorite" w:hAnsi="Tenorite"/>
          <w:b/>
        </w:rPr>
        <w:t xml:space="preserve"> </w:t>
      </w:r>
    </w:p>
    <w:p w14:paraId="27DA7EA6" w14:textId="77777777" w:rsidR="007934B9" w:rsidRDefault="007934B9" w:rsidP="00D160F0">
      <w:pPr>
        <w:shd w:val="clear" w:color="auto" w:fill="FFFFFF"/>
        <w:spacing w:after="0" w:line="240" w:lineRule="auto"/>
        <w:ind w:left="142"/>
        <w:jc w:val="both"/>
        <w:outlineLvl w:val="2"/>
        <w:rPr>
          <w:rFonts w:ascii="Tenorite" w:hAnsi="Tenorite" w:cs="Arial"/>
          <w:color w:val="3C3C3C"/>
          <w:sz w:val="20"/>
          <w:szCs w:val="20"/>
        </w:rPr>
      </w:pPr>
      <w:hyperlink r:id="rId32" w:history="1">
        <w:r w:rsidRPr="00DB3853">
          <w:rPr>
            <w:rStyle w:val="Lienhypertexte"/>
            <w:rFonts w:ascii="Tenorite" w:hAnsi="Tenorite" w:cs="Arial"/>
            <w:sz w:val="20"/>
            <w:szCs w:val="20"/>
          </w:rPr>
          <w:t>Décision</w:t>
        </w:r>
      </w:hyperlink>
      <w:r w:rsidRPr="00DB3853">
        <w:rPr>
          <w:rFonts w:ascii="Tenorite" w:hAnsi="Tenorite" w:cs="Arial"/>
          <w:color w:val="3C3C3C"/>
          <w:sz w:val="20"/>
          <w:szCs w:val="20"/>
        </w:rPr>
        <w:t xml:space="preserve"> d’exécution (UE) 2025/680 de la Commission du 8 avril 2025 fixant l’enveloppe définitive de l’aide de l’Union octroyée aux États membres pour les fruits et légumes à l’école et pour le lait à l’école, pour la période allant du 1er août 2025 au 31 juillet 2026, et modifiant la décision d’exécution (UE) 2024/845 (JOUE 10/04/2025)</w:t>
      </w:r>
    </w:p>
    <w:p w14:paraId="4F0A9628" w14:textId="77777777" w:rsidR="00D025D4" w:rsidRPr="005F3EA3" w:rsidRDefault="00D025D4" w:rsidP="00D160F0">
      <w:pPr>
        <w:spacing w:after="0" w:line="240" w:lineRule="auto"/>
        <w:ind w:left="426" w:hanging="283"/>
        <w:rPr>
          <w:rFonts w:ascii="Tenorite" w:hAnsi="Tenorite"/>
          <w:color w:val="C45911" w:themeColor="accent2" w:themeShade="BF"/>
          <w:sz w:val="20"/>
          <w:szCs w:val="18"/>
        </w:rPr>
      </w:pPr>
      <w:r w:rsidRPr="005F3EA3">
        <w:rPr>
          <w:rFonts w:ascii="Tenorite" w:hAnsi="Tenorite"/>
          <w:color w:val="C45911" w:themeColor="accent2" w:themeShade="BF"/>
          <w:sz w:val="20"/>
          <w:szCs w:val="18"/>
        </w:rPr>
        <w:t>Beurre</w:t>
      </w:r>
      <w:r w:rsidRPr="005F3EA3">
        <w:rPr>
          <w:rFonts w:ascii="Tenorite" w:hAnsi="Tenorite"/>
          <w:color w:val="C45911" w:themeColor="accent2" w:themeShade="BF"/>
          <w:sz w:val="20"/>
          <w:szCs w:val="18"/>
        </w:rPr>
        <w:tab/>
      </w:r>
    </w:p>
    <w:p w14:paraId="08F43676" w14:textId="77777777" w:rsidR="00D025D4" w:rsidRPr="005F3EA3" w:rsidRDefault="00D025D4" w:rsidP="00D160F0">
      <w:pPr>
        <w:spacing w:after="0" w:line="240" w:lineRule="auto"/>
        <w:ind w:left="426" w:hanging="283"/>
        <w:rPr>
          <w:rFonts w:ascii="Tenorite" w:hAnsi="Tenorite"/>
          <w:color w:val="C45911" w:themeColor="accent2" w:themeShade="BF"/>
          <w:sz w:val="20"/>
          <w:szCs w:val="18"/>
        </w:rPr>
      </w:pPr>
      <w:r w:rsidRPr="005F3EA3">
        <w:rPr>
          <w:rFonts w:ascii="Tenorite" w:hAnsi="Tenorite"/>
          <w:color w:val="C45911" w:themeColor="accent2" w:themeShade="BF"/>
          <w:sz w:val="20"/>
          <w:szCs w:val="18"/>
        </w:rPr>
        <w:t>Lait</w:t>
      </w:r>
      <w:r w:rsidR="0012180A" w:rsidRPr="005F3EA3">
        <w:rPr>
          <w:rFonts w:ascii="Tenorite" w:hAnsi="Tenorite"/>
          <w:color w:val="C45911" w:themeColor="accent2" w:themeShade="BF"/>
          <w:sz w:val="20"/>
          <w:szCs w:val="18"/>
        </w:rPr>
        <w:t>, produits laitiers</w:t>
      </w:r>
    </w:p>
    <w:p w14:paraId="1BD9FE19" w14:textId="77777777" w:rsidR="0012180A" w:rsidRDefault="0012180A" w:rsidP="00D160F0">
      <w:pPr>
        <w:spacing w:after="0" w:line="240" w:lineRule="auto"/>
        <w:ind w:left="426" w:hanging="283"/>
        <w:rPr>
          <w:rFonts w:ascii="Tenorite" w:hAnsi="Tenorite"/>
          <w:color w:val="C45911" w:themeColor="accent2" w:themeShade="BF"/>
          <w:sz w:val="20"/>
          <w:szCs w:val="18"/>
        </w:rPr>
      </w:pPr>
      <w:r w:rsidRPr="005F3EA3">
        <w:rPr>
          <w:rFonts w:ascii="Tenorite" w:hAnsi="Tenorite"/>
          <w:color w:val="C45911" w:themeColor="accent2" w:themeShade="BF"/>
          <w:sz w:val="20"/>
          <w:szCs w:val="18"/>
        </w:rPr>
        <w:t>Signes officiels de qualité</w:t>
      </w:r>
    </w:p>
    <w:p w14:paraId="24773EA6" w14:textId="77777777" w:rsidR="00D160F0" w:rsidRDefault="00D160F0" w:rsidP="00D160F0">
      <w:pPr>
        <w:spacing w:after="0" w:line="240" w:lineRule="auto"/>
        <w:ind w:left="426" w:hanging="283"/>
        <w:rPr>
          <w:rFonts w:ascii="Tenorite" w:hAnsi="Tenorite"/>
          <w:color w:val="C45911" w:themeColor="accent2" w:themeShade="BF"/>
          <w:sz w:val="20"/>
          <w:szCs w:val="18"/>
        </w:rPr>
      </w:pPr>
    </w:p>
    <w:p w14:paraId="14F5C586" w14:textId="77777777" w:rsidR="00D025D4" w:rsidRPr="005F3EA3" w:rsidRDefault="00D025D4" w:rsidP="00D025D4">
      <w:pPr>
        <w:shd w:val="clear" w:color="auto" w:fill="D9D9D9" w:themeFill="background1" w:themeFillShade="D9"/>
        <w:spacing w:after="0"/>
        <w:ind w:left="426" w:hanging="283"/>
        <w:rPr>
          <w:rFonts w:ascii="Tenorite" w:hAnsi="Tenorite"/>
          <w:b/>
          <w:color w:val="833C0B" w:themeColor="accent2" w:themeShade="80"/>
          <w:sz w:val="24"/>
          <w:szCs w:val="24"/>
        </w:rPr>
      </w:pPr>
      <w:r w:rsidRPr="005F3EA3">
        <w:rPr>
          <w:rFonts w:ascii="Tenorite" w:hAnsi="Tenorite"/>
          <w:b/>
          <w:color w:val="833C0B" w:themeColor="accent2" w:themeShade="80"/>
          <w:sz w:val="24"/>
          <w:szCs w:val="24"/>
        </w:rPr>
        <w:t xml:space="preserve">ŒUFS ET OVOPRODUITS </w:t>
      </w:r>
    </w:p>
    <w:p w14:paraId="33A76140" w14:textId="03926A23" w:rsidR="00D025D4" w:rsidRDefault="00E464D9" w:rsidP="00D160F0">
      <w:pPr>
        <w:spacing w:after="0" w:line="240" w:lineRule="auto"/>
        <w:ind w:left="426" w:hanging="283"/>
        <w:rPr>
          <w:rFonts w:ascii="Tenorite" w:hAnsi="Tenorite"/>
          <w:color w:val="C45911" w:themeColor="accent2" w:themeShade="BF"/>
          <w:sz w:val="20"/>
          <w:szCs w:val="18"/>
        </w:rPr>
      </w:pPr>
      <w:r>
        <w:rPr>
          <w:rFonts w:ascii="Tenorite" w:hAnsi="Tenorite"/>
          <w:color w:val="C45911" w:themeColor="accent2" w:themeShade="BF"/>
          <w:sz w:val="20"/>
          <w:szCs w:val="18"/>
        </w:rPr>
        <w:t>Généralités</w:t>
      </w:r>
    </w:p>
    <w:p w14:paraId="7E588AC3" w14:textId="77777777" w:rsidR="007934B9" w:rsidRPr="00DB3853" w:rsidRDefault="007934B9" w:rsidP="00D160F0">
      <w:pPr>
        <w:shd w:val="clear" w:color="auto" w:fill="FFFFFF"/>
        <w:spacing w:after="0" w:line="240" w:lineRule="auto"/>
        <w:ind w:left="142"/>
        <w:jc w:val="both"/>
        <w:rPr>
          <w:rFonts w:ascii="Tenorite" w:hAnsi="Tenorite"/>
          <w:color w:val="333333"/>
          <w:sz w:val="20"/>
          <w:szCs w:val="20"/>
          <w:shd w:val="clear" w:color="auto" w:fill="FFFFFF"/>
        </w:rPr>
      </w:pPr>
      <w:hyperlink r:id="rId33" w:history="1">
        <w:r w:rsidRPr="00DB3853">
          <w:rPr>
            <w:rStyle w:val="Lienhypertexte"/>
            <w:rFonts w:ascii="Tenorite" w:hAnsi="Tenorite"/>
            <w:sz w:val="20"/>
            <w:szCs w:val="20"/>
            <w:shd w:val="clear" w:color="auto" w:fill="FFFFFF"/>
          </w:rPr>
          <w:t>Règlement</w:t>
        </w:r>
      </w:hyperlink>
      <w:r w:rsidRPr="00DB3853">
        <w:rPr>
          <w:rFonts w:ascii="Tenorite" w:hAnsi="Tenorite"/>
          <w:color w:val="333333"/>
          <w:sz w:val="20"/>
          <w:szCs w:val="20"/>
          <w:shd w:val="clear" w:color="auto" w:fill="FFFFFF"/>
        </w:rPr>
        <w:t xml:space="preserve"> d’exécution (UE) 2025/815 de la Commission du 23 avril 2025 modifiant le règlement (CE) no 1484/95 en ce qui concerne la fixation des prix représentatifs dans les secteurs de la viande de volaille et des œufs ainsi que pour l’ovalbumine (JOUE 25/04/2025)</w:t>
      </w:r>
    </w:p>
    <w:p w14:paraId="445474C6" w14:textId="77777777" w:rsidR="007934B9" w:rsidRDefault="007934B9" w:rsidP="00D160F0">
      <w:pPr>
        <w:spacing w:after="0" w:line="240" w:lineRule="auto"/>
        <w:ind w:left="426" w:hanging="283"/>
        <w:rPr>
          <w:rFonts w:ascii="Tenorite" w:hAnsi="Tenorite"/>
          <w:color w:val="C45911" w:themeColor="accent2" w:themeShade="BF"/>
          <w:sz w:val="20"/>
          <w:szCs w:val="18"/>
        </w:rPr>
      </w:pPr>
    </w:p>
    <w:p w14:paraId="4398C179" w14:textId="5D814C2E" w:rsidR="0012180A" w:rsidRDefault="0012180A" w:rsidP="00D160F0">
      <w:pPr>
        <w:spacing w:after="0" w:line="240" w:lineRule="auto"/>
        <w:ind w:left="426" w:hanging="283"/>
        <w:rPr>
          <w:rFonts w:ascii="Tenorite" w:hAnsi="Tenorite"/>
          <w:color w:val="C45911" w:themeColor="accent2" w:themeShade="BF"/>
          <w:sz w:val="20"/>
          <w:szCs w:val="18"/>
        </w:rPr>
      </w:pPr>
      <w:r w:rsidRPr="005F3EA3">
        <w:rPr>
          <w:rFonts w:ascii="Tenorite" w:hAnsi="Tenorite"/>
          <w:color w:val="C45911" w:themeColor="accent2" w:themeShade="BF"/>
          <w:sz w:val="20"/>
          <w:szCs w:val="18"/>
        </w:rPr>
        <w:t>Signes officiels de qualité</w:t>
      </w:r>
    </w:p>
    <w:p w14:paraId="25F76FA3" w14:textId="77777777" w:rsidR="0012180A" w:rsidRPr="00BF1263" w:rsidRDefault="0012180A" w:rsidP="00D025D4">
      <w:pPr>
        <w:spacing w:after="0" w:line="240" w:lineRule="auto"/>
        <w:ind w:left="426" w:hanging="283"/>
        <w:rPr>
          <w:rFonts w:ascii="Tenorite" w:hAnsi="Tenorite"/>
          <w:bCs/>
          <w:color w:val="C45911" w:themeColor="accent2" w:themeShade="BF"/>
          <w:sz w:val="20"/>
          <w:szCs w:val="18"/>
        </w:rPr>
      </w:pPr>
    </w:p>
    <w:p w14:paraId="5B9F02A9" w14:textId="77777777" w:rsidR="00D025D4" w:rsidRPr="005F3EA3" w:rsidRDefault="00D025D4" w:rsidP="00D025D4">
      <w:pPr>
        <w:shd w:val="clear" w:color="auto" w:fill="D9D9D9" w:themeFill="background1" w:themeFillShade="D9"/>
        <w:spacing w:after="0"/>
        <w:ind w:left="426" w:hanging="283"/>
        <w:rPr>
          <w:rFonts w:ascii="Tenorite" w:hAnsi="Tenorite"/>
          <w:b/>
          <w:color w:val="833C0B" w:themeColor="accent2" w:themeShade="80"/>
          <w:sz w:val="24"/>
          <w:szCs w:val="24"/>
        </w:rPr>
      </w:pPr>
      <w:r w:rsidRPr="005F3EA3">
        <w:rPr>
          <w:rFonts w:ascii="Tenorite" w:hAnsi="Tenorite"/>
          <w:b/>
          <w:color w:val="833C0B" w:themeColor="accent2" w:themeShade="80"/>
          <w:sz w:val="24"/>
          <w:szCs w:val="24"/>
        </w:rPr>
        <w:t xml:space="preserve">PRODUITS SUCRES </w:t>
      </w:r>
    </w:p>
    <w:p w14:paraId="7E35E821" w14:textId="77777777" w:rsidR="00D025D4" w:rsidRPr="005F3EA3" w:rsidRDefault="00D025D4" w:rsidP="00D160F0">
      <w:pPr>
        <w:spacing w:after="0" w:line="240" w:lineRule="auto"/>
        <w:ind w:left="426" w:hanging="284"/>
        <w:rPr>
          <w:rFonts w:ascii="Tenorite" w:hAnsi="Tenorite"/>
          <w:color w:val="C45911" w:themeColor="accent2" w:themeShade="BF"/>
          <w:sz w:val="20"/>
          <w:szCs w:val="18"/>
        </w:rPr>
      </w:pPr>
      <w:r w:rsidRPr="005F3EA3">
        <w:rPr>
          <w:rFonts w:ascii="Tenorite" w:hAnsi="Tenorite"/>
          <w:color w:val="C45911" w:themeColor="accent2" w:themeShade="BF"/>
          <w:sz w:val="20"/>
          <w:szCs w:val="18"/>
        </w:rPr>
        <w:t>Cacao et chocolat</w:t>
      </w:r>
    </w:p>
    <w:p w14:paraId="16EF5DD3" w14:textId="77777777" w:rsidR="00D025D4" w:rsidRPr="005F3EA3" w:rsidRDefault="00D025D4" w:rsidP="00D160F0">
      <w:pPr>
        <w:spacing w:after="0" w:line="240" w:lineRule="auto"/>
        <w:ind w:left="426" w:hanging="284"/>
        <w:rPr>
          <w:rFonts w:ascii="Tenorite" w:hAnsi="Tenorite"/>
          <w:color w:val="C45911" w:themeColor="accent2" w:themeShade="BF"/>
          <w:sz w:val="20"/>
          <w:szCs w:val="18"/>
        </w:rPr>
      </w:pPr>
      <w:r w:rsidRPr="005F3EA3">
        <w:rPr>
          <w:rFonts w:ascii="Tenorite" w:hAnsi="Tenorite"/>
          <w:color w:val="C45911" w:themeColor="accent2" w:themeShade="BF"/>
          <w:sz w:val="20"/>
          <w:szCs w:val="18"/>
        </w:rPr>
        <w:t>Confitures et compotes</w:t>
      </w:r>
    </w:p>
    <w:p w14:paraId="2BF906C4" w14:textId="77777777" w:rsidR="00D025D4" w:rsidRDefault="00D025D4" w:rsidP="00D160F0">
      <w:pPr>
        <w:spacing w:after="0" w:line="240" w:lineRule="auto"/>
        <w:ind w:left="426" w:hanging="284"/>
        <w:rPr>
          <w:rFonts w:ascii="Tenorite" w:hAnsi="Tenorite"/>
          <w:color w:val="C45911" w:themeColor="accent2" w:themeShade="BF"/>
          <w:sz w:val="20"/>
          <w:szCs w:val="18"/>
        </w:rPr>
      </w:pPr>
      <w:r w:rsidRPr="005F3EA3">
        <w:rPr>
          <w:rFonts w:ascii="Tenorite" w:hAnsi="Tenorite"/>
          <w:color w:val="C45911" w:themeColor="accent2" w:themeShade="BF"/>
          <w:sz w:val="20"/>
          <w:szCs w:val="18"/>
        </w:rPr>
        <w:t>Sucres</w:t>
      </w:r>
    </w:p>
    <w:p w14:paraId="260F820D" w14:textId="77777777" w:rsidR="00D160F0" w:rsidRPr="005F3EA3" w:rsidRDefault="00D160F0" w:rsidP="00D160F0">
      <w:pPr>
        <w:spacing w:after="0" w:line="240" w:lineRule="auto"/>
        <w:ind w:left="426" w:hanging="284"/>
        <w:rPr>
          <w:rFonts w:ascii="Tenorite" w:hAnsi="Tenorite"/>
          <w:color w:val="C45911" w:themeColor="accent2" w:themeShade="BF"/>
          <w:sz w:val="20"/>
          <w:szCs w:val="18"/>
        </w:rPr>
      </w:pPr>
    </w:p>
    <w:p w14:paraId="12B01DA5" w14:textId="77777777" w:rsidR="00D025D4" w:rsidRPr="005F3EA3" w:rsidRDefault="00D025D4" w:rsidP="00D025D4">
      <w:pPr>
        <w:shd w:val="clear" w:color="auto" w:fill="D9D9D9" w:themeFill="background1" w:themeFillShade="D9"/>
        <w:spacing w:after="0"/>
        <w:ind w:left="426" w:hanging="283"/>
        <w:rPr>
          <w:rFonts w:ascii="Tenorite" w:hAnsi="Tenorite"/>
          <w:b/>
          <w:color w:val="833C0B" w:themeColor="accent2" w:themeShade="80"/>
          <w:sz w:val="24"/>
          <w:szCs w:val="24"/>
        </w:rPr>
      </w:pPr>
      <w:r w:rsidRPr="005F3EA3">
        <w:rPr>
          <w:rFonts w:ascii="Tenorite" w:hAnsi="Tenorite"/>
          <w:b/>
          <w:color w:val="833C0B" w:themeColor="accent2" w:themeShade="80"/>
          <w:sz w:val="24"/>
          <w:szCs w:val="24"/>
        </w:rPr>
        <w:t xml:space="preserve">VIANDES ET PRODUITS À BASE DE VIANDE </w:t>
      </w:r>
    </w:p>
    <w:p w14:paraId="3A4371A9" w14:textId="77777777" w:rsidR="00D160F0" w:rsidRDefault="00E464D9" w:rsidP="00D160F0">
      <w:pPr>
        <w:spacing w:after="0" w:line="240" w:lineRule="auto"/>
        <w:ind w:left="426" w:hanging="283"/>
        <w:rPr>
          <w:rFonts w:ascii="Tenorite" w:hAnsi="Tenorite"/>
          <w:color w:val="C45911" w:themeColor="accent2" w:themeShade="BF"/>
          <w:sz w:val="20"/>
          <w:szCs w:val="18"/>
        </w:rPr>
      </w:pPr>
      <w:r w:rsidRPr="005F3EA3">
        <w:rPr>
          <w:rFonts w:ascii="Tenorite" w:hAnsi="Tenorite"/>
          <w:color w:val="C45911" w:themeColor="accent2" w:themeShade="BF"/>
          <w:sz w:val="20"/>
          <w:szCs w:val="18"/>
        </w:rPr>
        <w:t xml:space="preserve">Volailles </w:t>
      </w:r>
    </w:p>
    <w:p w14:paraId="1CA84AC7" w14:textId="35B34AA5" w:rsidR="00D871A1" w:rsidRPr="007934B9" w:rsidRDefault="00D871A1" w:rsidP="00D160F0">
      <w:pPr>
        <w:spacing w:after="0" w:line="240" w:lineRule="auto"/>
        <w:ind w:left="426" w:hanging="283"/>
        <w:rPr>
          <w:rFonts w:ascii="Tenorite" w:hAnsi="Tenorite"/>
          <w:b/>
          <w:bCs/>
          <w:i/>
          <w:iCs/>
          <w:sz w:val="20"/>
          <w:szCs w:val="18"/>
        </w:rPr>
      </w:pPr>
      <w:r>
        <w:rPr>
          <w:rFonts w:ascii="Tenorite" w:hAnsi="Tenorite"/>
          <w:b/>
          <w:bCs/>
          <w:i/>
          <w:iCs/>
          <w:sz w:val="20"/>
          <w:szCs w:val="18"/>
        </w:rPr>
        <w:t>Maladies Volailles</w:t>
      </w:r>
    </w:p>
    <w:p w14:paraId="73AE26B3" w14:textId="77777777" w:rsidR="00D871A1" w:rsidRPr="004C2158" w:rsidRDefault="00D871A1" w:rsidP="00D160F0">
      <w:pPr>
        <w:shd w:val="clear" w:color="auto" w:fill="FFFFFF"/>
        <w:spacing w:after="0" w:line="240" w:lineRule="auto"/>
        <w:ind w:left="142"/>
        <w:jc w:val="both"/>
        <w:rPr>
          <w:rFonts w:ascii="Tenorite" w:eastAsia="Times New Roman" w:hAnsi="Tenorite" w:cs="Times New Roman"/>
          <w:sz w:val="20"/>
          <w:szCs w:val="20"/>
          <w:lang w:eastAsia="fr-FR"/>
        </w:rPr>
      </w:pPr>
      <w:hyperlink r:id="rId34" w:history="1">
        <w:r w:rsidRPr="004C2158">
          <w:rPr>
            <w:rStyle w:val="Lienhypertexte"/>
            <w:rFonts w:ascii="Tenorite" w:eastAsia="Times New Roman" w:hAnsi="Tenorite" w:cs="Times New Roman"/>
            <w:color w:val="auto"/>
            <w:sz w:val="20"/>
            <w:szCs w:val="20"/>
            <w:lang w:eastAsia="fr-FR"/>
          </w:rPr>
          <w:t>Décision</w:t>
        </w:r>
      </w:hyperlink>
      <w:r w:rsidRPr="004C2158">
        <w:rPr>
          <w:rFonts w:ascii="Tenorite" w:eastAsia="Times New Roman" w:hAnsi="Tenorite" w:cs="Times New Roman"/>
          <w:sz w:val="20"/>
          <w:szCs w:val="20"/>
          <w:lang w:eastAsia="fr-FR"/>
        </w:rPr>
        <w:t xml:space="preserve"> d’exécution (UE) 2025/677 de la Commission du 1er avril 2025 modifiant l’annexe de la décision d’exécution (UE) 2023/2447 concernant des mesures d’urgence motivées par l’apparition de foyers d’influenza aviaire hautement pathogène dans certains États membres (JOUE 04/04/2025)</w:t>
      </w:r>
    </w:p>
    <w:p w14:paraId="3F6027C5" w14:textId="66E27B0B" w:rsidR="00D871A1" w:rsidRDefault="00D871A1" w:rsidP="00D160F0">
      <w:pPr>
        <w:shd w:val="clear" w:color="auto" w:fill="FFFFFF"/>
        <w:spacing w:after="0" w:line="240" w:lineRule="auto"/>
        <w:ind w:left="142"/>
        <w:jc w:val="both"/>
        <w:rPr>
          <w:rFonts w:ascii="Tenorite" w:eastAsia="Times New Roman" w:hAnsi="Tenorite" w:cs="Times New Roman"/>
          <w:sz w:val="20"/>
          <w:szCs w:val="20"/>
          <w:lang w:eastAsia="fr-FR"/>
        </w:rPr>
      </w:pPr>
      <w:hyperlink r:id="rId35" w:history="1">
        <w:r w:rsidRPr="004C2158">
          <w:rPr>
            <w:rStyle w:val="Lienhypertexte"/>
            <w:rFonts w:ascii="Tenorite" w:eastAsia="Times New Roman" w:hAnsi="Tenorite" w:cs="Times New Roman"/>
            <w:color w:val="auto"/>
            <w:sz w:val="20"/>
            <w:szCs w:val="20"/>
            <w:lang w:eastAsia="fr-FR"/>
          </w:rPr>
          <w:t>Décision</w:t>
        </w:r>
      </w:hyperlink>
      <w:r w:rsidRPr="004C2158">
        <w:rPr>
          <w:rFonts w:ascii="Tenorite" w:eastAsia="Times New Roman" w:hAnsi="Tenorite" w:cs="Times New Roman"/>
          <w:sz w:val="20"/>
          <w:szCs w:val="20"/>
          <w:lang w:eastAsia="fr-FR"/>
        </w:rPr>
        <w:t xml:space="preserve"> d’exécution (UE) 2025/751 de la Commission du 9 avril 2025 modifiant l’annexe de la décision d’exécution (UE) 2023/2447 concernant des mesures d’urgence motivées par l’apparition de foyers d’influenza aviaire hautement pathogène dans certains États membres (JOUE 14/04/2025)</w:t>
      </w:r>
    </w:p>
    <w:p w14:paraId="76585FE5" w14:textId="77777777" w:rsidR="00D160F0" w:rsidRPr="004C2158" w:rsidRDefault="00D160F0" w:rsidP="00D160F0">
      <w:pPr>
        <w:shd w:val="clear" w:color="auto" w:fill="FFFFFF"/>
        <w:spacing w:after="0" w:line="240" w:lineRule="auto"/>
        <w:ind w:left="142"/>
        <w:jc w:val="both"/>
        <w:rPr>
          <w:rFonts w:ascii="Tenorite" w:hAnsi="Tenorite"/>
          <w:sz w:val="20"/>
          <w:szCs w:val="20"/>
        </w:rPr>
      </w:pPr>
    </w:p>
    <w:p w14:paraId="71D09C4D" w14:textId="2673B129" w:rsidR="00D871A1" w:rsidRDefault="00D871A1" w:rsidP="00D160F0">
      <w:pPr>
        <w:shd w:val="clear" w:color="auto" w:fill="FFFFFF"/>
        <w:spacing w:after="0" w:line="240" w:lineRule="auto"/>
        <w:ind w:left="142"/>
        <w:jc w:val="both"/>
        <w:rPr>
          <w:rFonts w:ascii="Tenorite" w:eastAsia="Times New Roman" w:hAnsi="Tenorite" w:cs="Times New Roman"/>
          <w:sz w:val="20"/>
          <w:szCs w:val="20"/>
          <w:lang w:eastAsia="fr-FR"/>
        </w:rPr>
      </w:pPr>
      <w:hyperlink r:id="rId36" w:history="1">
        <w:r w:rsidRPr="004C2158">
          <w:rPr>
            <w:rStyle w:val="Lienhypertexte"/>
            <w:rFonts w:ascii="Tenorite" w:eastAsia="Times New Roman" w:hAnsi="Tenorite" w:cs="Times New Roman"/>
            <w:color w:val="auto"/>
            <w:sz w:val="20"/>
            <w:szCs w:val="20"/>
            <w:lang w:eastAsia="fr-FR"/>
          </w:rPr>
          <w:t>Décision</w:t>
        </w:r>
      </w:hyperlink>
      <w:r w:rsidRPr="004C2158">
        <w:rPr>
          <w:rFonts w:ascii="Tenorite" w:eastAsia="Times New Roman" w:hAnsi="Tenorite" w:cs="Times New Roman"/>
          <w:sz w:val="20"/>
          <w:szCs w:val="20"/>
          <w:lang w:eastAsia="fr-FR"/>
        </w:rPr>
        <w:t xml:space="preserve"> d’exécution (UE) 2025/821 de la Commission du 23 avril 2025 modifiant l’annexe de la décision d’exécution (UE) 2023/2447 concernant des mesures d’urgence motivées par l’apparition de foyers d’influenza aviaire hautement pathogène dans certains États membres (JOUE 28/04/2025)</w:t>
      </w:r>
    </w:p>
    <w:p w14:paraId="094E55AB" w14:textId="77777777" w:rsidR="00D160F0" w:rsidRPr="004C2158" w:rsidRDefault="00D160F0" w:rsidP="00D160F0">
      <w:pPr>
        <w:shd w:val="clear" w:color="auto" w:fill="FFFFFF"/>
        <w:spacing w:after="0" w:line="240" w:lineRule="auto"/>
        <w:ind w:left="142"/>
        <w:jc w:val="both"/>
        <w:rPr>
          <w:rFonts w:ascii="Tenorite" w:eastAsia="Times New Roman" w:hAnsi="Tenorite" w:cs="Times New Roman"/>
          <w:sz w:val="20"/>
          <w:szCs w:val="20"/>
          <w:lang w:eastAsia="fr-FR"/>
        </w:rPr>
      </w:pPr>
    </w:p>
    <w:p w14:paraId="1FEAE392" w14:textId="1CD6FDF9" w:rsidR="00D025D4" w:rsidRDefault="00D025D4" w:rsidP="00D871A1">
      <w:pPr>
        <w:spacing w:after="0" w:line="240" w:lineRule="auto"/>
        <w:ind w:left="426" w:hanging="283"/>
        <w:rPr>
          <w:rFonts w:ascii="Tenorite" w:hAnsi="Tenorite"/>
          <w:color w:val="C45911" w:themeColor="accent2" w:themeShade="BF"/>
          <w:sz w:val="20"/>
          <w:szCs w:val="18"/>
        </w:rPr>
      </w:pPr>
      <w:r w:rsidRPr="005F3EA3">
        <w:rPr>
          <w:rFonts w:ascii="Tenorite" w:hAnsi="Tenorite"/>
          <w:color w:val="C45911" w:themeColor="accent2" w:themeShade="BF"/>
          <w:sz w:val="20"/>
          <w:szCs w:val="18"/>
        </w:rPr>
        <w:t>Maladies</w:t>
      </w:r>
    </w:p>
    <w:p w14:paraId="44D106A9" w14:textId="77777777" w:rsidR="00D871A1" w:rsidRPr="004C2158" w:rsidRDefault="00D871A1" w:rsidP="00D871A1">
      <w:pPr>
        <w:shd w:val="clear" w:color="auto" w:fill="FFFFFF"/>
        <w:spacing w:after="0" w:line="240" w:lineRule="auto"/>
        <w:ind w:left="142"/>
        <w:jc w:val="both"/>
        <w:rPr>
          <w:rFonts w:ascii="Tenorite" w:eastAsia="Times New Roman" w:hAnsi="Tenorite" w:cs="Times New Roman"/>
          <w:sz w:val="20"/>
          <w:szCs w:val="20"/>
          <w:lang w:eastAsia="fr-FR"/>
        </w:rPr>
      </w:pPr>
      <w:r w:rsidRPr="004C2158">
        <w:rPr>
          <w:rFonts w:ascii="Tenorite" w:eastAsia="Times New Roman" w:hAnsi="Tenorite" w:cs="Times New Roman"/>
          <w:b/>
          <w:bCs/>
          <w:sz w:val="20"/>
          <w:szCs w:val="20"/>
          <w:lang w:eastAsia="fr-FR"/>
        </w:rPr>
        <w:t>Note de service </w:t>
      </w:r>
      <w:hyperlink r:id="rId37" w:history="1">
        <w:r w:rsidRPr="004C2158">
          <w:rPr>
            <w:rFonts w:ascii="Tenorite" w:eastAsia="Times New Roman" w:hAnsi="Tenorite" w:cs="Times New Roman"/>
            <w:sz w:val="20"/>
            <w:szCs w:val="20"/>
            <w:u w:val="single"/>
            <w:lang w:eastAsia="fr-FR"/>
          </w:rPr>
          <w:t>DGAL/MUS/2025-252</w:t>
        </w:r>
      </w:hyperlink>
      <w:r w:rsidRPr="004C2158">
        <w:rPr>
          <w:rFonts w:ascii="Tenorite" w:eastAsia="Times New Roman" w:hAnsi="Tenorite" w:cs="Times New Roman"/>
          <w:sz w:val="20"/>
          <w:szCs w:val="20"/>
          <w:lang w:eastAsia="fr-FR"/>
        </w:rPr>
        <w:t> du 08-04-2025 - Mises en situation pour la gestion d'une épizootie - Cycle 2025-2027 - Entraînements et Exercices. (DGAL)</w:t>
      </w:r>
    </w:p>
    <w:p w14:paraId="2688E9AD" w14:textId="77777777" w:rsidR="004C2158" w:rsidRDefault="004C2158" w:rsidP="00D871A1">
      <w:pPr>
        <w:shd w:val="clear" w:color="auto" w:fill="FFFFFF"/>
        <w:spacing w:after="0" w:line="240" w:lineRule="auto"/>
        <w:ind w:left="142"/>
        <w:jc w:val="both"/>
        <w:rPr>
          <w:rFonts w:ascii="Tenorite" w:eastAsia="Times New Roman" w:hAnsi="Tenorite" w:cs="Times New Roman"/>
          <w:color w:val="636363"/>
          <w:sz w:val="20"/>
          <w:szCs w:val="20"/>
          <w:lang w:eastAsia="fr-FR"/>
        </w:rPr>
      </w:pPr>
    </w:p>
    <w:p w14:paraId="7505CBC9" w14:textId="77777777" w:rsidR="00D871A1" w:rsidRPr="004C2158" w:rsidRDefault="00D871A1" w:rsidP="00D871A1">
      <w:pPr>
        <w:shd w:val="clear" w:color="auto" w:fill="FFFFFF"/>
        <w:ind w:left="142"/>
        <w:jc w:val="both"/>
        <w:rPr>
          <w:rFonts w:ascii="Tenorite" w:hAnsi="Tenorite"/>
          <w:sz w:val="20"/>
          <w:szCs w:val="20"/>
        </w:rPr>
      </w:pPr>
      <w:hyperlink r:id="rId38" w:history="1">
        <w:r w:rsidRPr="004C2158">
          <w:rPr>
            <w:rStyle w:val="Lienhypertexte"/>
            <w:rFonts w:ascii="Tenorite" w:hAnsi="Tenorite"/>
            <w:color w:val="auto"/>
            <w:sz w:val="20"/>
            <w:szCs w:val="20"/>
          </w:rPr>
          <w:t>Décision</w:t>
        </w:r>
      </w:hyperlink>
      <w:r w:rsidRPr="004C2158">
        <w:rPr>
          <w:rFonts w:ascii="Tenorite" w:hAnsi="Tenorite"/>
          <w:sz w:val="20"/>
          <w:szCs w:val="20"/>
        </w:rPr>
        <w:t xml:space="preserve"> d’exécution (UE) 2025/672 de la Commission du 31 mars 2025 concernant certaines mesures d’urgence relatives à l’apparition de foyers de fièvre aphteuse en Hongrie et en Slovaquie et abrogeant la décision d’exécution (UE) 2025/613 (JOUE 02/04/2025)</w:t>
      </w:r>
    </w:p>
    <w:p w14:paraId="7E129F09" w14:textId="77777777" w:rsidR="00D871A1" w:rsidRPr="004C2158" w:rsidRDefault="00D871A1" w:rsidP="00D871A1">
      <w:pPr>
        <w:shd w:val="clear" w:color="auto" w:fill="FFFFFF"/>
        <w:ind w:left="142"/>
        <w:jc w:val="both"/>
        <w:rPr>
          <w:rFonts w:ascii="Tenorite" w:eastAsia="Times New Roman" w:hAnsi="Tenorite" w:cs="Times New Roman"/>
          <w:sz w:val="20"/>
          <w:szCs w:val="20"/>
          <w:lang w:eastAsia="fr-FR"/>
        </w:rPr>
      </w:pPr>
      <w:hyperlink r:id="rId39" w:history="1">
        <w:r w:rsidRPr="004C2158">
          <w:rPr>
            <w:rStyle w:val="Lienhypertexte"/>
            <w:rFonts w:ascii="Tenorite" w:eastAsia="Times New Roman" w:hAnsi="Tenorite" w:cs="Times New Roman"/>
            <w:color w:val="auto"/>
            <w:sz w:val="20"/>
            <w:szCs w:val="20"/>
            <w:lang w:eastAsia="fr-FR"/>
          </w:rPr>
          <w:t>Règlement</w:t>
        </w:r>
      </w:hyperlink>
      <w:r w:rsidRPr="004C2158">
        <w:rPr>
          <w:rFonts w:ascii="Tenorite" w:eastAsia="Times New Roman" w:hAnsi="Tenorite" w:cs="Times New Roman"/>
          <w:sz w:val="20"/>
          <w:szCs w:val="20"/>
          <w:lang w:eastAsia="fr-FR"/>
        </w:rPr>
        <w:t xml:space="preserve"> d’exécution (UE) 2025/715 de la Commission du 7 avril 2025 modifiant l’annexe I du règlement d’exécution (UE) 2023/594 établissant des mesures spéciales de lutte contre la peste porcine africaine (JOUE 08/04/2025)</w:t>
      </w:r>
    </w:p>
    <w:p w14:paraId="3D024B5D" w14:textId="77777777" w:rsidR="00D871A1" w:rsidRPr="004C2158" w:rsidRDefault="00D871A1" w:rsidP="00D871A1">
      <w:pPr>
        <w:shd w:val="clear" w:color="auto" w:fill="FFFFFF"/>
        <w:ind w:left="142"/>
        <w:jc w:val="both"/>
        <w:rPr>
          <w:rFonts w:ascii="Tenorite" w:eastAsia="Times New Roman" w:hAnsi="Tenorite" w:cs="Times New Roman"/>
          <w:sz w:val="20"/>
          <w:szCs w:val="20"/>
          <w:lang w:eastAsia="fr-FR"/>
        </w:rPr>
      </w:pPr>
      <w:hyperlink r:id="rId40" w:history="1">
        <w:r w:rsidRPr="004C2158">
          <w:rPr>
            <w:rStyle w:val="Lienhypertexte"/>
            <w:rFonts w:ascii="Tenorite" w:eastAsia="Times New Roman" w:hAnsi="Tenorite" w:cs="Times New Roman"/>
            <w:color w:val="auto"/>
            <w:sz w:val="20"/>
            <w:szCs w:val="20"/>
            <w:lang w:eastAsia="fr-FR"/>
          </w:rPr>
          <w:t>Décision</w:t>
        </w:r>
      </w:hyperlink>
      <w:r w:rsidRPr="004C2158">
        <w:rPr>
          <w:rFonts w:ascii="Tenorite" w:eastAsia="Times New Roman" w:hAnsi="Tenorite" w:cs="Times New Roman"/>
          <w:sz w:val="20"/>
          <w:szCs w:val="20"/>
          <w:lang w:eastAsia="fr-FR"/>
        </w:rPr>
        <w:t xml:space="preserve"> d’exécution (UE) 2025/696 de la Commission du 3 avril 2025 modifiant l’annexe de la décision d’exécution (UE) 2025/672 concernant certaines mesures d’urgence relatives à l’apparition de foyers de fièvre aphteuse en Hongrie et en Slovaquie (JOUE 04/04/2025)</w:t>
      </w:r>
    </w:p>
    <w:p w14:paraId="7A0CFD5D" w14:textId="77777777" w:rsidR="00D871A1" w:rsidRPr="004C2158" w:rsidRDefault="00D871A1" w:rsidP="00D871A1">
      <w:pPr>
        <w:shd w:val="clear" w:color="auto" w:fill="FFFFFF"/>
        <w:ind w:left="142"/>
        <w:jc w:val="both"/>
        <w:rPr>
          <w:rFonts w:ascii="Tenorite" w:eastAsia="Times New Roman" w:hAnsi="Tenorite" w:cs="Times New Roman"/>
          <w:sz w:val="20"/>
          <w:szCs w:val="20"/>
          <w:lang w:eastAsia="fr-FR"/>
        </w:rPr>
      </w:pPr>
      <w:hyperlink r:id="rId41" w:history="1">
        <w:r w:rsidRPr="004C2158">
          <w:rPr>
            <w:rStyle w:val="Lienhypertexte"/>
            <w:rFonts w:ascii="Tenorite" w:eastAsia="Times New Roman" w:hAnsi="Tenorite" w:cs="Times New Roman"/>
            <w:color w:val="auto"/>
            <w:sz w:val="20"/>
            <w:szCs w:val="20"/>
            <w:lang w:eastAsia="fr-FR"/>
          </w:rPr>
          <w:t>Décision</w:t>
        </w:r>
      </w:hyperlink>
      <w:r w:rsidRPr="004C2158">
        <w:rPr>
          <w:rFonts w:ascii="Tenorite" w:eastAsia="Times New Roman" w:hAnsi="Tenorite" w:cs="Times New Roman"/>
          <w:sz w:val="20"/>
          <w:szCs w:val="20"/>
          <w:lang w:eastAsia="fr-FR"/>
        </w:rPr>
        <w:t xml:space="preserve"> d’exécution (UE) 2025/716 de la Commission du 7 avril 2025 modifiant la décision d’exécution (UE) 2024/2207 concernant certaines mesures d’urgence relatives à la clavelée et à la variole caprine en Grèce (JOUE 10/04/2025)</w:t>
      </w:r>
    </w:p>
    <w:p w14:paraId="460A57E3" w14:textId="77777777" w:rsidR="00D871A1" w:rsidRPr="004C2158" w:rsidRDefault="00D871A1" w:rsidP="00D871A1">
      <w:pPr>
        <w:shd w:val="clear" w:color="auto" w:fill="FFFFFF"/>
        <w:ind w:left="142"/>
        <w:jc w:val="both"/>
        <w:rPr>
          <w:rFonts w:ascii="Tenorite" w:eastAsia="Times New Roman" w:hAnsi="Tenorite" w:cs="Times New Roman"/>
          <w:sz w:val="20"/>
          <w:szCs w:val="20"/>
          <w:lang w:eastAsia="fr-FR"/>
        </w:rPr>
      </w:pPr>
      <w:hyperlink r:id="rId42" w:history="1">
        <w:r w:rsidRPr="004C2158">
          <w:rPr>
            <w:rStyle w:val="Lienhypertexte"/>
            <w:rFonts w:ascii="Tenorite" w:eastAsia="Times New Roman" w:hAnsi="Tenorite" w:cs="Times New Roman"/>
            <w:color w:val="auto"/>
            <w:sz w:val="20"/>
            <w:szCs w:val="20"/>
            <w:lang w:eastAsia="fr-FR"/>
          </w:rPr>
          <w:t>Décision</w:t>
        </w:r>
      </w:hyperlink>
      <w:r w:rsidRPr="004C2158">
        <w:rPr>
          <w:rFonts w:ascii="Tenorite" w:eastAsia="Times New Roman" w:hAnsi="Tenorite" w:cs="Times New Roman"/>
          <w:sz w:val="20"/>
          <w:szCs w:val="20"/>
          <w:lang w:eastAsia="fr-FR"/>
        </w:rPr>
        <w:t xml:space="preserve"> d’exécution (UE) 2025/795 de la Commission du 14 avril 2025 modifiant l’annexe de la décision d’exécution (UE) 2025/672 concernant certaines mesures d’urgence relatives à l’apparition de foyers de fièvre aphteuse en Hongrie et en Slovaquie (JOUE 15/04/2025)</w:t>
      </w:r>
    </w:p>
    <w:p w14:paraId="7B04A4A4" w14:textId="77777777" w:rsidR="00D871A1" w:rsidRPr="004C2158" w:rsidRDefault="00D871A1" w:rsidP="00D871A1">
      <w:pPr>
        <w:shd w:val="clear" w:color="auto" w:fill="FFFFFF"/>
        <w:ind w:left="142"/>
        <w:jc w:val="both"/>
        <w:rPr>
          <w:rFonts w:ascii="Tenorite" w:eastAsia="Times New Roman" w:hAnsi="Tenorite" w:cs="Times New Roman"/>
          <w:sz w:val="20"/>
          <w:szCs w:val="20"/>
          <w:lang w:eastAsia="fr-FR"/>
        </w:rPr>
      </w:pPr>
      <w:hyperlink r:id="rId43" w:history="1">
        <w:r w:rsidRPr="004C2158">
          <w:rPr>
            <w:rStyle w:val="Lienhypertexte"/>
            <w:rFonts w:ascii="Tenorite" w:eastAsia="Times New Roman" w:hAnsi="Tenorite" w:cs="Times New Roman"/>
            <w:color w:val="auto"/>
            <w:sz w:val="20"/>
            <w:szCs w:val="20"/>
            <w:lang w:eastAsia="fr-FR"/>
          </w:rPr>
          <w:t>Décision</w:t>
        </w:r>
      </w:hyperlink>
      <w:r w:rsidRPr="004C2158">
        <w:rPr>
          <w:rFonts w:ascii="Tenorite" w:eastAsia="Times New Roman" w:hAnsi="Tenorite" w:cs="Times New Roman"/>
          <w:sz w:val="20"/>
          <w:szCs w:val="20"/>
          <w:lang w:eastAsia="fr-FR"/>
        </w:rPr>
        <w:t xml:space="preserve"> d’exécution (UE) 2025/785 de la Commission du 14 avril 2025 modifiant la décision d’exécution (UE) 2025/638 concernant certaines mesures d’urgence relatives à l’infection par le virus de la peste des petits ruminants en Roumanie (JOUE 16/04/2025)</w:t>
      </w:r>
    </w:p>
    <w:p w14:paraId="2C7A0FB9" w14:textId="77777777" w:rsidR="00D871A1" w:rsidRPr="004C2158" w:rsidRDefault="00D871A1" w:rsidP="00D871A1">
      <w:pPr>
        <w:shd w:val="clear" w:color="auto" w:fill="FFFFFF"/>
        <w:spacing w:after="0" w:line="240" w:lineRule="auto"/>
        <w:ind w:left="142"/>
        <w:jc w:val="both"/>
        <w:rPr>
          <w:rFonts w:ascii="Tenorite" w:eastAsia="Times New Roman" w:hAnsi="Tenorite" w:cs="Times New Roman"/>
          <w:sz w:val="20"/>
          <w:szCs w:val="20"/>
          <w:lang w:eastAsia="fr-FR"/>
        </w:rPr>
      </w:pPr>
      <w:hyperlink r:id="rId44" w:history="1">
        <w:r w:rsidRPr="004C2158">
          <w:rPr>
            <w:rStyle w:val="Lienhypertexte"/>
            <w:rFonts w:ascii="Tenorite" w:eastAsia="Times New Roman" w:hAnsi="Tenorite" w:cs="Times New Roman"/>
            <w:color w:val="auto"/>
            <w:sz w:val="20"/>
            <w:szCs w:val="20"/>
            <w:lang w:eastAsia="fr-FR"/>
          </w:rPr>
          <w:t>Décision</w:t>
        </w:r>
      </w:hyperlink>
      <w:r w:rsidRPr="004C2158">
        <w:rPr>
          <w:rFonts w:ascii="Tenorite" w:eastAsia="Times New Roman" w:hAnsi="Tenorite" w:cs="Times New Roman"/>
          <w:sz w:val="20"/>
          <w:szCs w:val="20"/>
          <w:lang w:eastAsia="fr-FR"/>
        </w:rPr>
        <w:t xml:space="preserve"> d’exécution (UE) 2025/827 de la Commission du 25 avril 2025 modifiant l’annexe de la décision d’exécution (UE) 2025/672 concernant certaines mesures d’urgence relatives à l’apparition de foyers de fièvre aphteuse en Hongrie et en Slovaquie (JOUE 28/04/2025)</w:t>
      </w:r>
    </w:p>
    <w:p w14:paraId="55BD880B" w14:textId="77777777" w:rsidR="00D871A1" w:rsidRPr="00DB3853" w:rsidRDefault="00D871A1" w:rsidP="00D871A1">
      <w:pPr>
        <w:shd w:val="clear" w:color="auto" w:fill="FFFFFF"/>
        <w:spacing w:after="0" w:line="240" w:lineRule="auto"/>
        <w:ind w:left="142"/>
        <w:jc w:val="both"/>
        <w:rPr>
          <w:rFonts w:ascii="Tenorite" w:eastAsia="Times New Roman" w:hAnsi="Tenorite" w:cs="Times New Roman"/>
          <w:color w:val="636363"/>
          <w:sz w:val="20"/>
          <w:szCs w:val="20"/>
          <w:lang w:eastAsia="fr-FR"/>
        </w:rPr>
      </w:pPr>
    </w:p>
    <w:p w14:paraId="71AB1618" w14:textId="3935E5A4" w:rsidR="00D025D4" w:rsidRPr="005F3EA3" w:rsidRDefault="00D025D4" w:rsidP="00D871A1">
      <w:pPr>
        <w:ind w:left="142"/>
        <w:rPr>
          <w:rFonts w:ascii="Tenorite" w:hAnsi="Tenorite"/>
          <w:color w:val="C45911" w:themeColor="accent2" w:themeShade="BF"/>
          <w:sz w:val="20"/>
          <w:szCs w:val="18"/>
        </w:rPr>
      </w:pPr>
      <w:r w:rsidRPr="005F3EA3">
        <w:rPr>
          <w:rFonts w:ascii="Tenorite" w:hAnsi="Tenorite"/>
          <w:color w:val="C45911" w:themeColor="accent2" w:themeShade="BF"/>
          <w:sz w:val="20"/>
          <w:szCs w:val="18"/>
        </w:rPr>
        <w:t>Produits à base de viande</w:t>
      </w:r>
    </w:p>
    <w:p w14:paraId="4B7B7C52" w14:textId="65049993" w:rsidR="00D025D4" w:rsidRPr="005F3EA3" w:rsidRDefault="00D025D4" w:rsidP="00D025D4">
      <w:pPr>
        <w:ind w:left="426" w:hanging="283"/>
        <w:rPr>
          <w:rFonts w:ascii="Tenorite" w:hAnsi="Tenorite"/>
          <w:color w:val="C45911" w:themeColor="accent2" w:themeShade="BF"/>
          <w:sz w:val="20"/>
          <w:szCs w:val="18"/>
        </w:rPr>
      </w:pPr>
      <w:r w:rsidRPr="005F3EA3">
        <w:rPr>
          <w:rFonts w:ascii="Tenorite" w:hAnsi="Tenorite"/>
          <w:color w:val="C45911" w:themeColor="accent2" w:themeShade="BF"/>
          <w:sz w:val="20"/>
          <w:szCs w:val="18"/>
        </w:rPr>
        <w:t>Sécurité sanitaire</w:t>
      </w:r>
    </w:p>
    <w:sectPr w:rsidR="00D025D4" w:rsidRPr="005F3EA3" w:rsidSect="000C0DEF">
      <w:headerReference w:type="even" r:id="rId45"/>
      <w:headerReference w:type="default" r:id="rId46"/>
      <w:footerReference w:type="even" r:id="rId47"/>
      <w:footerReference w:type="default" r:id="rId48"/>
      <w:headerReference w:type="first" r:id="rId49"/>
      <w:footerReference w:type="first" r:id="rId50"/>
      <w:pgSz w:w="11906" w:h="16838"/>
      <w:pgMar w:top="1417" w:right="282" w:bottom="1417" w:left="426" w:header="284" w:footer="3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08E3A3" w14:textId="77777777" w:rsidR="00572303" w:rsidRDefault="00572303" w:rsidP="000C0DEF">
      <w:pPr>
        <w:spacing w:after="0" w:line="240" w:lineRule="auto"/>
      </w:pPr>
      <w:r>
        <w:separator/>
      </w:r>
    </w:p>
  </w:endnote>
  <w:endnote w:type="continuationSeparator" w:id="0">
    <w:p w14:paraId="7AE4F515" w14:textId="77777777" w:rsidR="00572303" w:rsidRDefault="00572303" w:rsidP="000C0D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enorite">
    <w:charset w:val="00"/>
    <w:family w:val="auto"/>
    <w:pitch w:val="variable"/>
    <w:sig w:usb0="80000003" w:usb1="00000001" w:usb2="00000000" w:usb3="00000000" w:csb0="0000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SimianText-Orangutan">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9D9B07" w14:textId="77777777" w:rsidR="00853D89" w:rsidRDefault="00853D89">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enorite" w:hAnsi="Tenorite"/>
        <w:sz w:val="20"/>
        <w:szCs w:val="20"/>
      </w:rPr>
      <w:id w:val="270144275"/>
      <w:docPartObj>
        <w:docPartGallery w:val="Page Numbers (Bottom of Page)"/>
        <w:docPartUnique/>
      </w:docPartObj>
    </w:sdtPr>
    <w:sdtEndPr/>
    <w:sdtContent>
      <w:p w14:paraId="4E563226" w14:textId="3559D084" w:rsidR="000C0DEF" w:rsidRPr="0088109F" w:rsidRDefault="0088109F" w:rsidP="000C0DEF">
        <w:pPr>
          <w:pStyle w:val="Pieddepage"/>
          <w:ind w:right="141"/>
          <w:jc w:val="right"/>
          <w:rPr>
            <w:rFonts w:ascii="Tenorite" w:hAnsi="Tenorite"/>
            <w:sz w:val="20"/>
            <w:szCs w:val="20"/>
          </w:rPr>
        </w:pPr>
        <w:r w:rsidRPr="0088109F">
          <w:rPr>
            <w:rFonts w:ascii="Tenorite" w:hAnsi="Tenorite"/>
            <w:sz w:val="20"/>
            <w:szCs w:val="20"/>
          </w:rPr>
          <w:t xml:space="preserve">Page </w:t>
        </w:r>
        <w:r w:rsidRPr="0088109F">
          <w:rPr>
            <w:rFonts w:ascii="Tenorite" w:hAnsi="Tenorite"/>
            <w:b/>
            <w:bCs/>
            <w:sz w:val="20"/>
            <w:szCs w:val="20"/>
          </w:rPr>
          <w:fldChar w:fldCharType="begin"/>
        </w:r>
        <w:r w:rsidRPr="0088109F">
          <w:rPr>
            <w:rFonts w:ascii="Tenorite" w:hAnsi="Tenorite"/>
            <w:b/>
            <w:bCs/>
            <w:sz w:val="20"/>
            <w:szCs w:val="20"/>
          </w:rPr>
          <w:instrText>PAGE  \* Arabic  \* MERGEFORMAT</w:instrText>
        </w:r>
        <w:r w:rsidRPr="0088109F">
          <w:rPr>
            <w:rFonts w:ascii="Tenorite" w:hAnsi="Tenorite"/>
            <w:b/>
            <w:bCs/>
            <w:sz w:val="20"/>
            <w:szCs w:val="20"/>
          </w:rPr>
          <w:fldChar w:fldCharType="separate"/>
        </w:r>
        <w:r w:rsidRPr="0088109F">
          <w:rPr>
            <w:rFonts w:ascii="Tenorite" w:hAnsi="Tenorite"/>
            <w:b/>
            <w:bCs/>
            <w:sz w:val="20"/>
            <w:szCs w:val="20"/>
          </w:rPr>
          <w:t>1</w:t>
        </w:r>
        <w:r w:rsidRPr="0088109F">
          <w:rPr>
            <w:rFonts w:ascii="Tenorite" w:hAnsi="Tenorite"/>
            <w:b/>
            <w:bCs/>
            <w:sz w:val="20"/>
            <w:szCs w:val="20"/>
          </w:rPr>
          <w:fldChar w:fldCharType="end"/>
        </w:r>
        <w:r w:rsidRPr="0088109F">
          <w:rPr>
            <w:rFonts w:ascii="Tenorite" w:hAnsi="Tenorite"/>
            <w:sz w:val="20"/>
            <w:szCs w:val="20"/>
          </w:rPr>
          <w:t xml:space="preserve"> sur </w:t>
        </w:r>
        <w:r w:rsidRPr="0088109F">
          <w:rPr>
            <w:rFonts w:ascii="Tenorite" w:hAnsi="Tenorite"/>
            <w:b/>
            <w:bCs/>
            <w:sz w:val="20"/>
            <w:szCs w:val="20"/>
          </w:rPr>
          <w:fldChar w:fldCharType="begin"/>
        </w:r>
        <w:r w:rsidRPr="0088109F">
          <w:rPr>
            <w:rFonts w:ascii="Tenorite" w:hAnsi="Tenorite"/>
            <w:b/>
            <w:bCs/>
            <w:sz w:val="20"/>
            <w:szCs w:val="20"/>
          </w:rPr>
          <w:instrText>NUMPAGES  \* Arabic  \* MERGEFORMAT</w:instrText>
        </w:r>
        <w:r w:rsidRPr="0088109F">
          <w:rPr>
            <w:rFonts w:ascii="Tenorite" w:hAnsi="Tenorite"/>
            <w:b/>
            <w:bCs/>
            <w:sz w:val="20"/>
            <w:szCs w:val="20"/>
          </w:rPr>
          <w:fldChar w:fldCharType="separate"/>
        </w:r>
        <w:r w:rsidRPr="0088109F">
          <w:rPr>
            <w:rFonts w:ascii="Tenorite" w:hAnsi="Tenorite"/>
            <w:b/>
            <w:bCs/>
            <w:sz w:val="20"/>
            <w:szCs w:val="20"/>
          </w:rPr>
          <w:t>2</w:t>
        </w:r>
        <w:r w:rsidRPr="0088109F">
          <w:rPr>
            <w:rFonts w:ascii="Tenorite" w:hAnsi="Tenorite"/>
            <w:b/>
            <w:bCs/>
            <w:sz w:val="20"/>
            <w:szCs w:val="20"/>
          </w:rPr>
          <w:fldChar w:fldCharType="end"/>
        </w:r>
      </w:p>
    </w:sdtContent>
  </w:sdt>
  <w:p w14:paraId="5BCEC587" w14:textId="35CDE0B8" w:rsidR="000C0DEF" w:rsidRDefault="000C0DEF" w:rsidP="000C0DEF">
    <w:pPr>
      <w:pStyle w:val="Pieddepage"/>
      <w:tabs>
        <w:tab w:val="clear" w:pos="4536"/>
        <w:tab w:val="clear" w:pos="9072"/>
        <w:tab w:val="left" w:pos="3210"/>
      </w:tabs>
      <w:ind w:right="1133"/>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C3D0F3" w14:textId="77777777" w:rsidR="00853D89" w:rsidRDefault="00853D89">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02B4EB" w14:textId="77777777" w:rsidR="00572303" w:rsidRDefault="00572303" w:rsidP="000C0DEF">
      <w:pPr>
        <w:spacing w:after="0" w:line="240" w:lineRule="auto"/>
      </w:pPr>
      <w:r>
        <w:separator/>
      </w:r>
    </w:p>
  </w:footnote>
  <w:footnote w:type="continuationSeparator" w:id="0">
    <w:p w14:paraId="02141359" w14:textId="77777777" w:rsidR="00572303" w:rsidRDefault="00572303" w:rsidP="000C0DE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F5FE77" w14:textId="77777777" w:rsidR="000C0DEF" w:rsidRDefault="00B308A2">
    <w:pPr>
      <w:pStyle w:val="En-tte"/>
    </w:pPr>
    <w:r>
      <w:rPr>
        <w:noProof/>
        <w:lang w:eastAsia="fr-FR"/>
      </w:rPr>
      <w:pict w14:anchorId="78F4B2E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685983" o:spid="_x0000_s1032" type="#_x0000_t75" style="position:absolute;margin-left:0;margin-top:0;width:559.55pt;height:387.35pt;z-index:-251650048;mso-position-horizontal:center;mso-position-horizontal-relative:margin;mso-position-vertical:center;mso-position-vertical-relative:margin" o:allowincell="f">
          <v:imagedata r:id="rId1" o:title="filigramme sourire FIP"/>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777297" w14:textId="1C8B1E3D" w:rsidR="000C0DEF" w:rsidRPr="000C0DEF" w:rsidRDefault="00B308A2" w:rsidP="00853D89">
    <w:pPr>
      <w:pStyle w:val="En-tte"/>
      <w:tabs>
        <w:tab w:val="clear" w:pos="4536"/>
        <w:tab w:val="clear" w:pos="9072"/>
        <w:tab w:val="left" w:pos="2160"/>
      </w:tabs>
    </w:pPr>
    <w:r>
      <w:rPr>
        <w:noProof/>
        <w:lang w:eastAsia="fr-FR"/>
      </w:rPr>
      <w:pict w14:anchorId="5E80F61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685984" o:spid="_x0000_s1033" type="#_x0000_t75" style="position:absolute;margin-left:0;margin-top:0;width:559.55pt;height:387.35pt;z-index:-251649024;mso-position-horizontal:center;mso-position-horizontal-relative:margin;mso-position-vertical:center;mso-position-vertical-relative:margin" o:allowincell="f">
          <v:imagedata r:id="rId1" o:title="filigramme sourire FIP"/>
          <w10:wrap anchorx="margin" anchory="margin"/>
        </v:shape>
      </w:pict>
    </w:r>
    <w:r w:rsidR="00853D89">
      <w:t xml:space="preserve">  </w:t>
    </w:r>
    <w:r w:rsidR="00853D89">
      <w:tab/>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A6AD3F" w14:textId="77777777" w:rsidR="000C0DEF" w:rsidRDefault="00B308A2">
    <w:pPr>
      <w:pStyle w:val="En-tte"/>
    </w:pPr>
    <w:r>
      <w:rPr>
        <w:noProof/>
        <w:lang w:eastAsia="fr-FR"/>
      </w:rPr>
      <w:pict w14:anchorId="0C674F8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685982" o:spid="_x0000_s1031" type="#_x0000_t75" style="position:absolute;margin-left:0;margin-top:0;width:559.55pt;height:387.35pt;z-index:-251651072;mso-position-horizontal:center;mso-position-horizontal-relative:margin;mso-position-vertical:center;mso-position-vertical-relative:margin" o:allowincell="f">
          <v:imagedata r:id="rId1" o:title="filigramme sourire FIP"/>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0DEF"/>
    <w:rsid w:val="000C0DEF"/>
    <w:rsid w:val="0012180A"/>
    <w:rsid w:val="0013368A"/>
    <w:rsid w:val="001B42BB"/>
    <w:rsid w:val="002B7CB6"/>
    <w:rsid w:val="002D342B"/>
    <w:rsid w:val="002F17D1"/>
    <w:rsid w:val="003237C3"/>
    <w:rsid w:val="003D0555"/>
    <w:rsid w:val="00480C9D"/>
    <w:rsid w:val="004A7DF8"/>
    <w:rsid w:val="004C2158"/>
    <w:rsid w:val="00572303"/>
    <w:rsid w:val="005E5C2C"/>
    <w:rsid w:val="005F3EA3"/>
    <w:rsid w:val="005F79C3"/>
    <w:rsid w:val="00767DBA"/>
    <w:rsid w:val="007934B9"/>
    <w:rsid w:val="00843D84"/>
    <w:rsid w:val="00853D89"/>
    <w:rsid w:val="0088109F"/>
    <w:rsid w:val="008B7919"/>
    <w:rsid w:val="00901715"/>
    <w:rsid w:val="00930E35"/>
    <w:rsid w:val="00980424"/>
    <w:rsid w:val="00A711DE"/>
    <w:rsid w:val="00B308A2"/>
    <w:rsid w:val="00B659D9"/>
    <w:rsid w:val="00BF1263"/>
    <w:rsid w:val="00BF7342"/>
    <w:rsid w:val="00C2622D"/>
    <w:rsid w:val="00D025D4"/>
    <w:rsid w:val="00D160F0"/>
    <w:rsid w:val="00D64E70"/>
    <w:rsid w:val="00D871A1"/>
    <w:rsid w:val="00DF6BB8"/>
    <w:rsid w:val="00E3404E"/>
    <w:rsid w:val="00E464D9"/>
    <w:rsid w:val="00FB67EF"/>
    <w:rsid w:val="00FB718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1EED49"/>
  <w15:chartTrackingRefBased/>
  <w15:docId w15:val="{2ED18064-B024-4767-9D3D-DD0107E5B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0C0DE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itre3">
    <w:name w:val="heading 3"/>
    <w:basedOn w:val="Normal"/>
    <w:link w:val="Titre3Car"/>
    <w:uiPriority w:val="9"/>
    <w:unhideWhenUsed/>
    <w:qFormat/>
    <w:rsid w:val="000C0DEF"/>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0C0DEF"/>
    <w:pPr>
      <w:tabs>
        <w:tab w:val="center" w:pos="4536"/>
        <w:tab w:val="right" w:pos="9072"/>
      </w:tabs>
      <w:spacing w:after="0" w:line="240" w:lineRule="auto"/>
    </w:pPr>
  </w:style>
  <w:style w:type="character" w:customStyle="1" w:styleId="En-tteCar">
    <w:name w:val="En-tête Car"/>
    <w:basedOn w:val="Policepardfaut"/>
    <w:link w:val="En-tte"/>
    <w:uiPriority w:val="99"/>
    <w:rsid w:val="000C0DEF"/>
  </w:style>
  <w:style w:type="paragraph" w:styleId="Pieddepage">
    <w:name w:val="footer"/>
    <w:basedOn w:val="Normal"/>
    <w:link w:val="PieddepageCar"/>
    <w:uiPriority w:val="99"/>
    <w:unhideWhenUsed/>
    <w:rsid w:val="000C0DE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C0DEF"/>
  </w:style>
  <w:style w:type="character" w:customStyle="1" w:styleId="Titre3Car">
    <w:name w:val="Titre 3 Car"/>
    <w:basedOn w:val="Policepardfaut"/>
    <w:link w:val="Titre3"/>
    <w:uiPriority w:val="9"/>
    <w:rsid w:val="000C0DEF"/>
    <w:rPr>
      <w:rFonts w:ascii="Times New Roman" w:eastAsia="Times New Roman" w:hAnsi="Times New Roman" w:cs="Times New Roman"/>
      <w:b/>
      <w:bCs/>
      <w:sz w:val="27"/>
      <w:szCs w:val="27"/>
      <w:lang w:eastAsia="fr-FR"/>
    </w:rPr>
  </w:style>
  <w:style w:type="character" w:customStyle="1" w:styleId="Titre1Car">
    <w:name w:val="Titre 1 Car"/>
    <w:basedOn w:val="Policepardfaut"/>
    <w:link w:val="Titre1"/>
    <w:uiPriority w:val="9"/>
    <w:rsid w:val="000C0DEF"/>
    <w:rPr>
      <w:rFonts w:asciiTheme="majorHAnsi" w:eastAsiaTheme="majorEastAsia" w:hAnsiTheme="majorHAnsi" w:cstheme="majorBidi"/>
      <w:color w:val="2E74B5" w:themeColor="accent1" w:themeShade="BF"/>
      <w:sz w:val="32"/>
      <w:szCs w:val="32"/>
    </w:rPr>
  </w:style>
  <w:style w:type="character" w:styleId="Lienhypertexte">
    <w:name w:val="Hyperlink"/>
    <w:unhideWhenUsed/>
    <w:rsid w:val="00B659D9"/>
    <w:rPr>
      <w:strike w:val="0"/>
      <w:dstrike w:val="0"/>
      <w:color w:val="0000FF"/>
      <w:u w:val="none"/>
      <w:effect w:val="none"/>
    </w:rPr>
  </w:style>
  <w:style w:type="paragraph" w:styleId="Textebrut">
    <w:name w:val="Plain Text"/>
    <w:basedOn w:val="Normal"/>
    <w:link w:val="TextebrutCar"/>
    <w:uiPriority w:val="99"/>
    <w:unhideWhenUsed/>
    <w:rsid w:val="00843D84"/>
    <w:pPr>
      <w:spacing w:after="0" w:line="240" w:lineRule="auto"/>
    </w:pPr>
    <w:rPr>
      <w:rFonts w:ascii="Calibri" w:hAnsi="Calibri"/>
      <w:szCs w:val="21"/>
    </w:rPr>
  </w:style>
  <w:style w:type="character" w:customStyle="1" w:styleId="TextebrutCar">
    <w:name w:val="Texte brut Car"/>
    <w:basedOn w:val="Policepardfaut"/>
    <w:link w:val="Textebrut"/>
    <w:uiPriority w:val="99"/>
    <w:rsid w:val="00843D84"/>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eur-lex.europa.eu/legal-content/FR/TXT/PDF/?uri=OJ:L_202500688" TargetMode="External"/><Relationship Id="rId18" Type="http://schemas.openxmlformats.org/officeDocument/2006/relationships/hyperlink" Target="https://www.legifrance.gouv.fr/jorf/id/JORFTEXT000051454592" TargetMode="External"/><Relationship Id="rId26" Type="http://schemas.openxmlformats.org/officeDocument/2006/relationships/hyperlink" Target="https://vigilanses.anses.fr/fr/issue" TargetMode="External"/><Relationship Id="rId39" Type="http://schemas.openxmlformats.org/officeDocument/2006/relationships/hyperlink" Target="https://eur-lex.europa.eu/legal-content/FR/TXT/PDF/?uri=OJ:L_202500715" TargetMode="External"/><Relationship Id="rId21" Type="http://schemas.openxmlformats.org/officeDocument/2006/relationships/hyperlink" Target="https://eur-lex.europa.eu/legal-content/FR/TXT/PDF/?uri=OJ:L_202500807" TargetMode="External"/><Relationship Id="rId34" Type="http://schemas.openxmlformats.org/officeDocument/2006/relationships/hyperlink" Target="https://eur-lex.europa.eu/legal-content/FR/TXT/PDF/?uri=OJ:L_202500677" TargetMode="External"/><Relationship Id="rId42" Type="http://schemas.openxmlformats.org/officeDocument/2006/relationships/hyperlink" Target="https://eur-lex.europa.eu/legal-content/FR/TXT/PDF/?uri=OJ:L_202500795" TargetMode="External"/><Relationship Id="rId47" Type="http://schemas.openxmlformats.org/officeDocument/2006/relationships/footer" Target="footer1.xml"/><Relationship Id="rId50" Type="http://schemas.openxmlformats.org/officeDocument/2006/relationships/footer" Target="footer3.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hyperlink" Target="https://www.legifrance.gouv.fr/jorf/id/JORFTEXT000051430569" TargetMode="External"/><Relationship Id="rId29" Type="http://schemas.openxmlformats.org/officeDocument/2006/relationships/hyperlink" Target="https://eur-lex.europa.eu/legal-content/FR/TXT/PDF/?uri=OJ:L_202500692" TargetMode="External"/><Relationship Id="rId11" Type="http://schemas.openxmlformats.org/officeDocument/2006/relationships/hyperlink" Target="https://eur-lex.europa.eu/legal-content/FR/TXT/PDF/?uri=OJ:L_202500666" TargetMode="External"/><Relationship Id="rId24" Type="http://schemas.openxmlformats.org/officeDocument/2006/relationships/hyperlink" Target="https://info.agriculture.gouv.fr/boagri/instruction-2025-211" TargetMode="External"/><Relationship Id="rId32" Type="http://schemas.openxmlformats.org/officeDocument/2006/relationships/hyperlink" Target="https://eur-lex.europa.eu/legal-content/FR/TXT/PDF/?uri=OJ:L_202500680" TargetMode="External"/><Relationship Id="rId37" Type="http://schemas.openxmlformats.org/officeDocument/2006/relationships/hyperlink" Target="https://info.agriculture.gouv.fr/boagri/instruction-2025-252" TargetMode="External"/><Relationship Id="rId40" Type="http://schemas.openxmlformats.org/officeDocument/2006/relationships/hyperlink" Target="https://eur-lex.europa.eu/legal-content/FR/TXT/PDF/?uri=OJ:L_202500696" TargetMode="External"/><Relationship Id="rId45"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https://info.agriculture.gouv.fr/boagri/instruction-2025-233" TargetMode="External"/><Relationship Id="rId23" Type="http://schemas.openxmlformats.org/officeDocument/2006/relationships/hyperlink" Target="https://info.agriculture.gouv.fr/boagri/rectificatif-309b0b52-f5d8-4244-b732-3c0db534a1ff" TargetMode="External"/><Relationship Id="rId28" Type="http://schemas.openxmlformats.org/officeDocument/2006/relationships/hyperlink" Target="https://www.legifrance.gouv.fr/jorf/id/JORFTEXT000051469575" TargetMode="External"/><Relationship Id="rId36" Type="http://schemas.openxmlformats.org/officeDocument/2006/relationships/hyperlink" Target="https://eur-lex.europa.eu/legal-content/FR/TXT/PDF/?uri=OJ:L_202500821" TargetMode="External"/><Relationship Id="rId49" Type="http://schemas.openxmlformats.org/officeDocument/2006/relationships/header" Target="header3.xml"/><Relationship Id="rId10" Type="http://schemas.openxmlformats.org/officeDocument/2006/relationships/hyperlink" Target="https://eur-lex.europa.eu/legal-content/FR/TXT/PDF/?uri=OJ:L_202500652https://eur-lex.europa.eu/legal-content/FR/TXT/PDF/?uri=OJ:L_202500652" TargetMode="External"/><Relationship Id="rId19" Type="http://schemas.openxmlformats.org/officeDocument/2006/relationships/hyperlink" Target="https://www.legifrance.gouv.fr/jorf/id/JORFTEXT000051469561" TargetMode="External"/><Relationship Id="rId31" Type="http://schemas.openxmlformats.org/officeDocument/2006/relationships/hyperlink" Target="https://eur-lex.europa.eu/legal-content/FR/TXT/PDF/?uri=OJ:L_202500699" TargetMode="External"/><Relationship Id="rId44" Type="http://schemas.openxmlformats.org/officeDocument/2006/relationships/hyperlink" Target="https://eur-lex.europa.eu/legal-content/FR/TXT/PDF/?uri=OJ:L_202500827" TargetMode="External"/><Relationship Id="rId52"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eur-lex.europa.eu/legal-content/FR/TXT/PDF/?uri=OJ:L_202500651" TargetMode="External"/><Relationship Id="rId14" Type="http://schemas.openxmlformats.org/officeDocument/2006/relationships/hyperlink" Target="https://eur-lex.europa.eu/legal-content/FR/TXT/PDF/?uri=OJ:L_202500691" TargetMode="External"/><Relationship Id="rId22" Type="http://schemas.openxmlformats.org/officeDocument/2006/relationships/hyperlink" Target="https://www.anses.fr/sites/default/files/EAUX-2023-SA-0041-c.pdf" TargetMode="External"/><Relationship Id="rId27" Type="http://schemas.openxmlformats.org/officeDocument/2006/relationships/hyperlink" Target="https://www.anses.fr/fr/system/files/PGM2024-SA-0065.pdf" TargetMode="External"/><Relationship Id="rId30" Type="http://schemas.openxmlformats.org/officeDocument/2006/relationships/hyperlink" Target="https://eur-lex.europa.eu/legal-content/FR/TXT/PDF/?uri=OJ:L_202500694" TargetMode="External"/><Relationship Id="rId35" Type="http://schemas.openxmlformats.org/officeDocument/2006/relationships/hyperlink" Target="https://eur-lex.europa.eu/legal-content/FR/TXT/PDF/?uri=OJ:L_202500751" TargetMode="External"/><Relationship Id="rId43" Type="http://schemas.openxmlformats.org/officeDocument/2006/relationships/hyperlink" Target="https://eur-lex.europa.eu/legal-content/FR/TXT/PDF/?uri=OJ:L_202500785" TargetMode="External"/><Relationship Id="rId48" Type="http://schemas.openxmlformats.org/officeDocument/2006/relationships/footer" Target="footer2.xml"/><Relationship Id="rId8" Type="http://schemas.openxmlformats.org/officeDocument/2006/relationships/hyperlink" Target="https://www.legifrance.gouv.fr/jorf/id/JORFTEXT000051465667" TargetMode="External"/><Relationship Id="rId51"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hyperlink" Target="https://eur-lex.europa.eu/legal-content/FR/TXT/PDF/?uri=OJ:L_202500682" TargetMode="External"/><Relationship Id="rId17" Type="http://schemas.openxmlformats.org/officeDocument/2006/relationships/hyperlink" Target="https://info.agriculture.gouv.fr/boagri/instruction-2025-236" TargetMode="External"/><Relationship Id="rId25" Type="http://schemas.openxmlformats.org/officeDocument/2006/relationships/hyperlink" Target="https://www.plateforme-sca.fr/ndeg131-17-avril-2025" TargetMode="External"/><Relationship Id="rId33" Type="http://schemas.openxmlformats.org/officeDocument/2006/relationships/hyperlink" Target="https://eur-lex.europa.eu/legal-content/FR/TXT/PDF/?uri=OJ:L_202500815" TargetMode="External"/><Relationship Id="rId38" Type="http://schemas.openxmlformats.org/officeDocument/2006/relationships/hyperlink" Target="https://eur-lex.europa.eu/legal-content/FR/TXT/PDF/?uri=OJ:L_202500672" TargetMode="External"/><Relationship Id="rId46" Type="http://schemas.openxmlformats.org/officeDocument/2006/relationships/header" Target="header2.xml"/><Relationship Id="rId20" Type="http://schemas.openxmlformats.org/officeDocument/2006/relationships/hyperlink" Target="https://eur-lex.europa.eu/legal-content/FR/TXT/PDF/?uri=OJ:L_202500787" TargetMode="External"/><Relationship Id="rId41" Type="http://schemas.openxmlformats.org/officeDocument/2006/relationships/hyperlink" Target="https://eur-lex.europa.eu/legal-content/FR/TXT/PDF/?uri=OJ:L_202500716" TargetMode="External"/><Relationship Id="rId1" Type="http://schemas.openxmlformats.org/officeDocument/2006/relationships/customXml" Target="../customXml/item1.xml"/><Relationship Id="rId6"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2F9048-52DE-4C9E-ACCF-03401F2D77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2408</Words>
  <Characters>13250</Characters>
  <Application>Microsoft Office Word</Application>
  <DocSecurity>0</DocSecurity>
  <Lines>110</Lines>
  <Paragraphs>31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15627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levesque</dc:creator>
  <cp:keywords/>
  <dc:description/>
  <cp:lastModifiedBy>Denis GRIVET</cp:lastModifiedBy>
  <cp:revision>3</cp:revision>
  <dcterms:created xsi:type="dcterms:W3CDTF">2025-05-12T14:31:00Z</dcterms:created>
  <dcterms:modified xsi:type="dcterms:W3CDTF">2025-10-14T13:46:00Z</dcterms:modified>
</cp:coreProperties>
</file>