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5B1F23" w14:textId="347EDF86" w:rsidR="000D6DC6" w:rsidRPr="005F3EA3" w:rsidRDefault="000D6DC6" w:rsidP="000D6DC6">
      <w:pPr>
        <w:spacing w:after="0"/>
        <w:jc w:val="center"/>
        <w:rPr>
          <w:rFonts w:ascii="Tenorite" w:hAnsi="Tenorite" w:cs="Tahoma"/>
          <w:b/>
          <w:color w:val="EF671A"/>
          <w:sz w:val="28"/>
          <w:szCs w:val="28"/>
        </w:rPr>
      </w:pPr>
      <w:r w:rsidRPr="005F3EA3">
        <w:rPr>
          <w:rFonts w:ascii="Tenorite" w:hAnsi="Tenorite" w:cs="Tahoma"/>
          <w:b/>
          <w:color w:val="EF671A"/>
          <w:sz w:val="28"/>
          <w:szCs w:val="28"/>
        </w:rPr>
        <w:t>BULL</w:t>
      </w:r>
      <w:r>
        <w:rPr>
          <w:rFonts w:ascii="Tenorite" w:hAnsi="Tenorite" w:cs="Tahoma"/>
          <w:b/>
          <w:color w:val="EF671A"/>
          <w:sz w:val="28"/>
          <w:szCs w:val="28"/>
        </w:rPr>
        <w:t>E</w:t>
      </w:r>
      <w:r w:rsidRPr="005F3EA3">
        <w:rPr>
          <w:rFonts w:ascii="Tenorite" w:hAnsi="Tenorite" w:cs="Tahoma"/>
          <w:b/>
          <w:color w:val="EF671A"/>
          <w:sz w:val="28"/>
          <w:szCs w:val="28"/>
        </w:rPr>
        <w:t>TIN DE VEILLE REGLEMENTAIRE</w:t>
      </w:r>
    </w:p>
    <w:p w14:paraId="5FC650B0" w14:textId="41BE7CFF" w:rsidR="000D6DC6" w:rsidRDefault="000D6DC6" w:rsidP="000D6DC6">
      <w:pPr>
        <w:spacing w:after="0"/>
        <w:jc w:val="center"/>
        <w:rPr>
          <w:rFonts w:ascii="Tenorite" w:hAnsi="Tenorite" w:cs="Tahoma"/>
          <w:b/>
          <w:color w:val="EF671A"/>
          <w:sz w:val="28"/>
          <w:szCs w:val="28"/>
        </w:rPr>
      </w:pPr>
      <w:proofErr w:type="gramStart"/>
      <w:r w:rsidRPr="005F3EA3">
        <w:rPr>
          <w:rFonts w:ascii="Tenorite" w:hAnsi="Tenorite" w:cs="Tahoma"/>
          <w:b/>
          <w:color w:val="EF671A"/>
          <w:sz w:val="28"/>
          <w:szCs w:val="28"/>
        </w:rPr>
        <w:t>n</w:t>
      </w:r>
      <w:proofErr w:type="gramEnd"/>
      <w:r w:rsidRPr="005F3EA3">
        <w:rPr>
          <w:rFonts w:ascii="Tenorite" w:hAnsi="Tenorite" w:cs="Tahoma"/>
          <w:b/>
          <w:color w:val="EF671A"/>
          <w:sz w:val="28"/>
          <w:szCs w:val="28"/>
        </w:rPr>
        <w:t>°</w:t>
      </w:r>
      <w:r>
        <w:rPr>
          <w:rFonts w:ascii="Tenorite" w:hAnsi="Tenorite" w:cs="Tahoma"/>
          <w:b/>
          <w:color w:val="EF671A"/>
          <w:sz w:val="28"/>
          <w:szCs w:val="28"/>
        </w:rPr>
        <w:t xml:space="preserve">5 - mai </w:t>
      </w:r>
      <w:r w:rsidRPr="005F3EA3">
        <w:rPr>
          <w:rFonts w:ascii="Tenorite" w:hAnsi="Tenorite" w:cs="Tahoma"/>
          <w:b/>
          <w:color w:val="EF671A"/>
          <w:sz w:val="28"/>
          <w:szCs w:val="28"/>
        </w:rPr>
        <w:t>202</w:t>
      </w:r>
      <w:r>
        <w:rPr>
          <w:rFonts w:ascii="Tenorite" w:hAnsi="Tenorite" w:cs="Tahoma"/>
          <w:b/>
          <w:color w:val="EF671A"/>
          <w:sz w:val="28"/>
          <w:szCs w:val="28"/>
        </w:rPr>
        <w:t>5</w:t>
      </w:r>
    </w:p>
    <w:p w14:paraId="11FCE9FE" w14:textId="77777777" w:rsidR="000D6DC6" w:rsidRPr="000D6DC6" w:rsidRDefault="000D6DC6" w:rsidP="000D6DC6">
      <w:pPr>
        <w:spacing w:after="0"/>
        <w:jc w:val="center"/>
        <w:rPr>
          <w:rFonts w:ascii="Tenorite" w:hAnsi="Tenorite" w:cs="Tahoma"/>
          <w:b/>
          <w:color w:val="EF671A"/>
          <w:sz w:val="14"/>
          <w:szCs w:val="14"/>
        </w:rPr>
      </w:pPr>
    </w:p>
    <w:p w14:paraId="0746294D" w14:textId="77777777" w:rsidR="000D6DC6" w:rsidRDefault="000D6DC6" w:rsidP="000D6DC6">
      <w:pPr>
        <w:jc w:val="center"/>
      </w:pPr>
      <w:r w:rsidRPr="00AE7BB3">
        <w:rPr>
          <w:rFonts w:ascii="Trebuchet MS" w:hAnsi="Trebuchet MS" w:cs="Arial"/>
          <w:sz w:val="26"/>
          <w:szCs w:val="26"/>
        </w:rPr>
        <w:t>Sécurité des aliments et information du consommateur (France et Europe)</w:t>
      </w:r>
    </w:p>
    <w:p w14:paraId="211B5987" w14:textId="081B8E2F" w:rsidR="005F3EA3" w:rsidRDefault="005F3EA3" w:rsidP="005F3EA3">
      <w:pPr>
        <w:spacing w:after="0" w:line="240" w:lineRule="auto"/>
        <w:jc w:val="center"/>
        <w:rPr>
          <w:rFonts w:ascii="Trebuchet MS" w:hAnsi="Trebuchet MS" w:cs="Tahoma"/>
          <w:b/>
          <w:color w:val="EF671A"/>
          <w:sz w:val="28"/>
          <w:szCs w:val="28"/>
        </w:rPr>
      </w:pPr>
    </w:p>
    <w:p w14:paraId="6E6C5449" w14:textId="29865298" w:rsidR="002B7CB6" w:rsidRDefault="002B7CB6" w:rsidP="005F3EA3">
      <w:pPr>
        <w:spacing w:after="0" w:line="240" w:lineRule="auto"/>
        <w:jc w:val="center"/>
        <w:rPr>
          <w:rFonts w:ascii="Tenorite" w:hAnsi="Tenorite" w:cs="Tahoma"/>
          <w:b/>
          <w:color w:val="EF671A"/>
          <w:sz w:val="32"/>
          <w:szCs w:val="32"/>
          <w:u w:val="single"/>
        </w:rPr>
      </w:pPr>
      <w:r w:rsidRPr="005F3EA3">
        <w:rPr>
          <w:rFonts w:ascii="Tenorite" w:hAnsi="Tenorite" w:cs="Tahoma"/>
          <w:b/>
          <w:color w:val="EF671A"/>
          <w:sz w:val="32"/>
          <w:szCs w:val="32"/>
          <w:u w:val="single"/>
        </w:rPr>
        <w:t xml:space="preserve">Partie 1 : Règlementation générale </w:t>
      </w:r>
    </w:p>
    <w:p w14:paraId="392B95B8" w14:textId="77777777" w:rsidR="000D6DC6" w:rsidRPr="000D6DC6" w:rsidRDefault="000D6DC6" w:rsidP="005F3EA3">
      <w:pPr>
        <w:spacing w:after="0" w:line="240" w:lineRule="auto"/>
        <w:jc w:val="center"/>
        <w:rPr>
          <w:rFonts w:ascii="Tenorite" w:hAnsi="Tenorite" w:cs="Tahoma"/>
          <w:b/>
          <w:color w:val="EF671A"/>
          <w:sz w:val="16"/>
          <w:szCs w:val="16"/>
          <w:u w:val="single"/>
        </w:rPr>
      </w:pPr>
    </w:p>
    <w:p w14:paraId="4CEA5421" w14:textId="7C64E32A"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ADDITIFS, </w:t>
      </w:r>
      <w:r w:rsidR="00767DBA">
        <w:rPr>
          <w:rFonts w:ascii="Tenorite" w:hAnsi="Tenorite"/>
          <w:b/>
          <w:color w:val="833C0B" w:themeColor="accent2" w:themeShade="80"/>
          <w:sz w:val="24"/>
        </w:rPr>
        <w:t>ET INGREDIENTS</w:t>
      </w:r>
    </w:p>
    <w:p w14:paraId="54AA4722" w14:textId="77777777"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Additifs</w:t>
      </w:r>
    </w:p>
    <w:p w14:paraId="2377D8B1" w14:textId="04253279" w:rsidR="002B7CB6" w:rsidRPr="005F3EA3"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Arômes</w:t>
      </w:r>
    </w:p>
    <w:p w14:paraId="47C0C303" w14:textId="48C78749" w:rsidR="002B7CB6" w:rsidRPr="005F3EA3"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Auxiliaires technologiques</w:t>
      </w:r>
    </w:p>
    <w:p w14:paraId="49061338" w14:textId="498C1B29" w:rsidR="002B7CB6" w:rsidRPr="005F3EA3"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Colorants</w:t>
      </w:r>
    </w:p>
    <w:p w14:paraId="091C2FFA" w14:textId="19B043A3" w:rsidR="002B7CB6" w:rsidRDefault="00767DBA" w:rsidP="002B7CB6">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 xml:space="preserve">Novel </w:t>
      </w:r>
      <w:proofErr w:type="spellStart"/>
      <w:r>
        <w:rPr>
          <w:rFonts w:ascii="Tenorite" w:hAnsi="Tenorite"/>
          <w:color w:val="C45911" w:themeColor="accent2" w:themeShade="BF"/>
          <w:sz w:val="20"/>
        </w:rPr>
        <w:t>foods</w:t>
      </w:r>
      <w:proofErr w:type="spellEnd"/>
      <w:r w:rsidR="002B7CB6" w:rsidRPr="005F3EA3">
        <w:rPr>
          <w:rFonts w:ascii="Tenorite" w:hAnsi="Tenorite"/>
          <w:color w:val="C45911" w:themeColor="accent2" w:themeShade="BF"/>
          <w:sz w:val="20"/>
        </w:rPr>
        <w:t xml:space="preserve"> </w:t>
      </w:r>
    </w:p>
    <w:p w14:paraId="5B12E9CF" w14:textId="23AA7CA5" w:rsidR="00E3404E" w:rsidRDefault="00186CB2" w:rsidP="004D1F90">
      <w:pPr>
        <w:spacing w:after="0" w:line="240" w:lineRule="auto"/>
        <w:ind w:left="142"/>
        <w:rPr>
          <w:rFonts w:ascii="Tenorite" w:hAnsi="Tenorite" w:cs="Arial"/>
          <w:color w:val="000000" w:themeColor="text1"/>
          <w:sz w:val="20"/>
          <w:szCs w:val="20"/>
        </w:rPr>
      </w:pPr>
      <w:hyperlink r:id="rId7" w:history="1">
        <w:r w:rsidRPr="00413B54">
          <w:rPr>
            <w:rStyle w:val="Lienhypertexte"/>
            <w:rFonts w:ascii="Tenorite" w:hAnsi="Tenorite" w:cs="Arial"/>
            <w:sz w:val="20"/>
            <w:szCs w:val="20"/>
          </w:rPr>
          <w:t>Rectificatif</w:t>
        </w:r>
      </w:hyperlink>
      <w:r w:rsidRPr="00413B54">
        <w:rPr>
          <w:rFonts w:ascii="Tenorite" w:hAnsi="Tenorite" w:cs="Arial"/>
          <w:color w:val="000000" w:themeColor="text1"/>
          <w:sz w:val="20"/>
          <w:szCs w:val="20"/>
        </w:rPr>
        <w:t xml:space="preserve"> au règlement d’exécution (UE) 2025/167 de la Commission du 30 janvier 2025 autorisant la mise sur le marché de l’hespéridine de </w:t>
      </w:r>
      <w:proofErr w:type="spellStart"/>
      <w:r w:rsidRPr="00413B54">
        <w:rPr>
          <w:rFonts w:ascii="Tenorite" w:hAnsi="Tenorite" w:cs="Arial"/>
          <w:color w:val="000000" w:themeColor="text1"/>
          <w:sz w:val="20"/>
          <w:szCs w:val="20"/>
        </w:rPr>
        <w:t>glucosyle</w:t>
      </w:r>
      <w:proofErr w:type="spellEnd"/>
      <w:r w:rsidRPr="00413B54">
        <w:rPr>
          <w:rFonts w:ascii="Tenorite" w:hAnsi="Tenorite" w:cs="Arial"/>
          <w:color w:val="000000" w:themeColor="text1"/>
          <w:sz w:val="20"/>
          <w:szCs w:val="20"/>
        </w:rPr>
        <w:t xml:space="preserve"> en tant que nouvel aliment et modifiant le règlement d’exécution (UE) 2017/2470 (JOUE 05/05/2025)</w:t>
      </w:r>
    </w:p>
    <w:p w14:paraId="55FEAB96" w14:textId="77777777" w:rsidR="004D1F90" w:rsidRPr="005F3EA3" w:rsidRDefault="004D1F90" w:rsidP="004D1F90">
      <w:pPr>
        <w:spacing w:after="0" w:line="240" w:lineRule="auto"/>
        <w:ind w:left="142"/>
        <w:rPr>
          <w:rFonts w:ascii="Tenorite" w:hAnsi="Tenorite"/>
          <w:sz w:val="18"/>
        </w:rPr>
      </w:pPr>
    </w:p>
    <w:p w14:paraId="19693B20"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ANALYSE ET CONTROLE</w:t>
      </w:r>
    </w:p>
    <w:p w14:paraId="3B4064F8" w14:textId="63D9DF8E" w:rsidR="00767DBA" w:rsidRPr="005F3EA3" w:rsidRDefault="00767DBA" w:rsidP="00767DBA">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w:t>
      </w:r>
      <w:r>
        <w:rPr>
          <w:rFonts w:ascii="Tenorite" w:hAnsi="Tenorite"/>
          <w:color w:val="C45911" w:themeColor="accent2" w:themeShade="BF"/>
          <w:sz w:val="20"/>
        </w:rPr>
        <w:t>nalyses</w:t>
      </w:r>
    </w:p>
    <w:p w14:paraId="306E4FFE" w14:textId="5DD87E85" w:rsidR="00767DBA" w:rsidRDefault="00767DBA"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Plans de contrôle, PSPC, …</w:t>
      </w:r>
    </w:p>
    <w:p w14:paraId="44E1068F" w14:textId="77777777" w:rsidR="00186CB2" w:rsidRPr="004D1F90" w:rsidRDefault="00186CB2" w:rsidP="00186CB2">
      <w:pPr>
        <w:shd w:val="clear" w:color="auto" w:fill="FFFFFF"/>
        <w:spacing w:after="0" w:line="240" w:lineRule="auto"/>
        <w:ind w:left="142"/>
        <w:jc w:val="both"/>
        <w:rPr>
          <w:rFonts w:ascii="Tenorite" w:hAnsi="Tenorite" w:cstheme="minorHAnsi"/>
          <w:sz w:val="20"/>
          <w:szCs w:val="20"/>
        </w:rPr>
      </w:pPr>
      <w:r w:rsidRPr="004D1F90">
        <w:rPr>
          <w:rFonts w:ascii="Tenorite" w:eastAsia="Times New Roman" w:hAnsi="Tenorite" w:cstheme="minorHAnsi"/>
          <w:b/>
          <w:bCs/>
          <w:sz w:val="20"/>
          <w:szCs w:val="20"/>
          <w:lang w:eastAsia="fr-FR"/>
        </w:rPr>
        <w:t>Instruction technique </w:t>
      </w:r>
      <w:hyperlink r:id="rId8" w:history="1">
        <w:r w:rsidRPr="004D1F90">
          <w:rPr>
            <w:rFonts w:ascii="Tenorite" w:eastAsia="Times New Roman" w:hAnsi="Tenorite" w:cstheme="minorHAnsi"/>
            <w:sz w:val="20"/>
            <w:szCs w:val="20"/>
            <w:u w:val="single"/>
            <w:lang w:eastAsia="fr-FR"/>
          </w:rPr>
          <w:t>DGAL/SDPRS/2025-344</w:t>
        </w:r>
      </w:hyperlink>
      <w:r w:rsidRPr="004D1F90">
        <w:rPr>
          <w:rFonts w:ascii="Tenorite" w:eastAsia="Times New Roman" w:hAnsi="Tenorite" w:cstheme="minorHAnsi"/>
          <w:sz w:val="20"/>
          <w:szCs w:val="20"/>
          <w:lang w:eastAsia="fr-FR"/>
        </w:rPr>
        <w:t> du 27-05-2025 -Dispositions générales relatives à la programmation et la mise en œuvre de la campagne d’inspections, audits ou autres activités officielles 2025 (programme 206 hors PSPC) (DGAL)</w:t>
      </w:r>
    </w:p>
    <w:p w14:paraId="0C2D674F" w14:textId="77777777" w:rsidR="00186CB2" w:rsidRPr="005F3EA3" w:rsidRDefault="00186CB2" w:rsidP="00767DBA">
      <w:pPr>
        <w:spacing w:after="0" w:line="240" w:lineRule="auto"/>
        <w:ind w:left="284" w:hanging="142"/>
        <w:rPr>
          <w:rFonts w:ascii="Tenorite" w:hAnsi="Tenorite"/>
          <w:color w:val="C45911" w:themeColor="accent2" w:themeShade="BF"/>
          <w:sz w:val="20"/>
        </w:rPr>
      </w:pPr>
    </w:p>
    <w:p w14:paraId="3570CAB8"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BIOCIDES – PRODUITS DE NETTOYAGE</w:t>
      </w:r>
    </w:p>
    <w:p w14:paraId="6D5B4E82" w14:textId="77777777" w:rsidR="00186CB2" w:rsidRDefault="00186CB2" w:rsidP="00186CB2">
      <w:pPr>
        <w:shd w:val="clear" w:color="auto" w:fill="FFFFFF"/>
        <w:spacing w:after="0" w:line="240" w:lineRule="auto"/>
        <w:ind w:left="142"/>
        <w:jc w:val="both"/>
        <w:rPr>
          <w:rFonts w:ascii="Tenorite" w:hAnsi="Tenorite" w:cs="Arial"/>
          <w:color w:val="000000" w:themeColor="text1"/>
          <w:sz w:val="20"/>
          <w:szCs w:val="20"/>
        </w:rPr>
      </w:pPr>
      <w:hyperlink r:id="rId9" w:history="1">
        <w:r w:rsidRPr="00413B54">
          <w:rPr>
            <w:rStyle w:val="Lienhypertexte"/>
            <w:rFonts w:ascii="Tenorite" w:hAnsi="Tenorite" w:cs="Arial"/>
            <w:sz w:val="20"/>
            <w:szCs w:val="20"/>
          </w:rPr>
          <w:t>Avis</w:t>
        </w:r>
      </w:hyperlink>
      <w:r w:rsidRPr="00413B54">
        <w:rPr>
          <w:rFonts w:ascii="Tenorite" w:hAnsi="Tenorite" w:cs="Arial"/>
          <w:color w:val="0000FF"/>
          <w:sz w:val="20"/>
          <w:szCs w:val="20"/>
        </w:rPr>
        <w:t xml:space="preserve"> </w:t>
      </w:r>
      <w:r w:rsidRPr="00413B54">
        <w:rPr>
          <w:rFonts w:ascii="Tenorite" w:hAnsi="Tenorite" w:cs="Arial"/>
          <w:color w:val="000000" w:themeColor="text1"/>
          <w:sz w:val="20"/>
          <w:szCs w:val="20"/>
        </w:rPr>
        <w:t>relatif à l’évaluation du 4-hydroxybenzoate de méthyle (n° CAS 99-76-3) dans le cadre de l’évaluation des substances sous REACH – avis signé le 15/04/2025</w:t>
      </w:r>
    </w:p>
    <w:p w14:paraId="18CEBF90" w14:textId="77777777" w:rsidR="00186CB2" w:rsidRPr="00413B54" w:rsidRDefault="00186CB2" w:rsidP="00186CB2">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62DFB16F" w14:textId="77777777" w:rsidR="00186CB2" w:rsidRPr="004D1F90" w:rsidRDefault="00186CB2" w:rsidP="00186CB2">
      <w:pPr>
        <w:shd w:val="clear" w:color="auto" w:fill="FFFFFF"/>
        <w:spacing w:after="0" w:line="240" w:lineRule="auto"/>
        <w:ind w:left="142"/>
        <w:jc w:val="both"/>
        <w:rPr>
          <w:rFonts w:ascii="Tenorite" w:eastAsia="Times New Roman" w:hAnsi="Tenorite" w:cs="Times New Roman"/>
          <w:sz w:val="20"/>
          <w:szCs w:val="20"/>
          <w:lang w:eastAsia="fr-FR"/>
        </w:rPr>
      </w:pPr>
      <w:r w:rsidRPr="004D1F90">
        <w:rPr>
          <w:rFonts w:ascii="Tenorite" w:eastAsia="Times New Roman" w:hAnsi="Tenorite" w:cs="Times New Roman"/>
          <w:b/>
          <w:bCs/>
          <w:sz w:val="20"/>
          <w:szCs w:val="20"/>
          <w:lang w:eastAsia="fr-FR"/>
        </w:rPr>
        <w:t>Note de service </w:t>
      </w:r>
      <w:hyperlink r:id="rId10" w:history="1">
        <w:r w:rsidRPr="004D1F90">
          <w:rPr>
            <w:rFonts w:ascii="Tenorite" w:eastAsia="Times New Roman" w:hAnsi="Tenorite" w:cs="Times New Roman"/>
            <w:sz w:val="20"/>
            <w:szCs w:val="20"/>
            <w:u w:val="single"/>
            <w:lang w:eastAsia="fr-FR"/>
          </w:rPr>
          <w:t>DGAL/SDSPV/2025-333</w:t>
        </w:r>
      </w:hyperlink>
      <w:r w:rsidRPr="004D1F90">
        <w:rPr>
          <w:rFonts w:ascii="Tenorite" w:eastAsia="Times New Roman" w:hAnsi="Tenorite" w:cs="Times New Roman"/>
          <w:sz w:val="20"/>
          <w:szCs w:val="20"/>
          <w:lang w:eastAsia="fr-FR"/>
        </w:rPr>
        <w:t> du 21-05-2025-Mise en œuvre du suivi des effets non intentionnels relatifs aux résistances des bioagresseurs à des substances actives ou des familles de substances de produits phytopharmaceutiques pour 2025 (DGAL)</w:t>
      </w:r>
    </w:p>
    <w:p w14:paraId="2DDB7DE6" w14:textId="77777777" w:rsidR="00186CB2" w:rsidRPr="00413B54" w:rsidRDefault="00186CB2" w:rsidP="00186CB2">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3AA6D1DB" w14:textId="77777777" w:rsidR="00186CB2" w:rsidRDefault="00186CB2" w:rsidP="00186CB2">
      <w:pPr>
        <w:pStyle w:val="Textebrut"/>
        <w:ind w:left="142"/>
        <w:jc w:val="both"/>
        <w:rPr>
          <w:rFonts w:ascii="Tenorite" w:hAnsi="Tenorite"/>
          <w:sz w:val="20"/>
          <w:szCs w:val="20"/>
        </w:rPr>
      </w:pPr>
      <w:hyperlink r:id="rId11"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2025/808 de la Commission du 5 mai 2025 modifiant le règlement d’exécution (UE) 2015/408 en ce qui concerne la suppression de la gamma-</w:t>
      </w:r>
      <w:proofErr w:type="spellStart"/>
      <w:r w:rsidRPr="00413B54">
        <w:rPr>
          <w:rFonts w:ascii="Tenorite" w:hAnsi="Tenorite"/>
          <w:sz w:val="20"/>
          <w:szCs w:val="20"/>
        </w:rPr>
        <w:t>cyhalothrine</w:t>
      </w:r>
      <w:proofErr w:type="spellEnd"/>
      <w:r w:rsidRPr="00413B54">
        <w:rPr>
          <w:rFonts w:ascii="Tenorite" w:hAnsi="Tenorite"/>
          <w:sz w:val="20"/>
          <w:szCs w:val="20"/>
        </w:rPr>
        <w:t>, de l’</w:t>
      </w:r>
      <w:proofErr w:type="spellStart"/>
      <w:r w:rsidRPr="00413B54">
        <w:rPr>
          <w:rFonts w:ascii="Tenorite" w:hAnsi="Tenorite"/>
          <w:sz w:val="20"/>
          <w:szCs w:val="20"/>
        </w:rPr>
        <w:t>ipconazole</w:t>
      </w:r>
      <w:proofErr w:type="spellEnd"/>
      <w:r w:rsidRPr="00413B54">
        <w:rPr>
          <w:rFonts w:ascii="Tenorite" w:hAnsi="Tenorite"/>
          <w:sz w:val="20"/>
          <w:szCs w:val="20"/>
        </w:rPr>
        <w:t xml:space="preserve"> et de l’oxamyl de la liste des substances actives à considérer comme des substances dont on envisage la substitution (JOUE 06/05/2025)</w:t>
      </w:r>
    </w:p>
    <w:p w14:paraId="4DA92C20" w14:textId="77777777" w:rsidR="00186CB2" w:rsidRPr="00413B54" w:rsidRDefault="00186CB2" w:rsidP="00186CB2">
      <w:pPr>
        <w:pStyle w:val="Textebrut"/>
        <w:ind w:left="142"/>
        <w:jc w:val="both"/>
        <w:rPr>
          <w:rFonts w:ascii="Tenorite" w:hAnsi="Tenorite"/>
          <w:sz w:val="20"/>
          <w:szCs w:val="20"/>
        </w:rPr>
      </w:pPr>
    </w:p>
    <w:p w14:paraId="2CCD92EE" w14:textId="77777777" w:rsidR="00186CB2" w:rsidRDefault="00186CB2" w:rsidP="00186CB2">
      <w:pPr>
        <w:shd w:val="clear" w:color="auto" w:fill="FFFFFF"/>
        <w:spacing w:after="0" w:line="240" w:lineRule="auto"/>
        <w:ind w:left="142"/>
        <w:jc w:val="both"/>
        <w:rPr>
          <w:rFonts w:ascii="Tenorite" w:hAnsi="Tenorite"/>
          <w:sz w:val="20"/>
          <w:szCs w:val="20"/>
        </w:rPr>
      </w:pPr>
      <w:hyperlink r:id="rId12"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2025/831 de la Commission du 5 mai 2025 accordant une autorisation de l’Union pour la famille de produits biocides dénommée AWPF Calcium Hypochlorite BPF conformément au règlement (UE) no 528/2012 du Parlement européen et du Conseil (JOUE 06/05/2025)</w:t>
      </w:r>
    </w:p>
    <w:p w14:paraId="44604C5D"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658A7C2A" w14:textId="77777777" w:rsidR="00186CB2" w:rsidRDefault="00186CB2" w:rsidP="00186CB2">
      <w:pPr>
        <w:shd w:val="clear" w:color="auto" w:fill="FFFFFF"/>
        <w:spacing w:after="0" w:line="240" w:lineRule="auto"/>
        <w:ind w:left="142"/>
        <w:jc w:val="both"/>
        <w:rPr>
          <w:rFonts w:ascii="Tenorite" w:hAnsi="Tenorite"/>
          <w:sz w:val="20"/>
          <w:szCs w:val="20"/>
        </w:rPr>
      </w:pPr>
      <w:hyperlink r:id="rId13"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2025/833 de la Commission du 5 mai 2025 renouvelant l’approbation de la substance active lénacile conformément au règlement (CE) no 1107/2009 du Parlement européen et du Conseil, et modifiant les règlements d’exécution (UE) no 540/2011 et (UE) 2015/408 de la Commission (JOUE 06/05/2025)</w:t>
      </w:r>
    </w:p>
    <w:p w14:paraId="6BF15FD3"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0CCA50F2" w14:textId="77777777" w:rsidR="00186CB2" w:rsidRDefault="00186CB2" w:rsidP="00186CB2">
      <w:pPr>
        <w:shd w:val="clear" w:color="auto" w:fill="FFFFFF"/>
        <w:spacing w:after="0" w:line="240" w:lineRule="auto"/>
        <w:ind w:left="142"/>
        <w:jc w:val="both"/>
        <w:rPr>
          <w:rFonts w:ascii="Tenorite" w:hAnsi="Tenorite"/>
          <w:sz w:val="20"/>
          <w:szCs w:val="20"/>
        </w:rPr>
      </w:pPr>
      <w:hyperlink r:id="rId14"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2025/834 de la Commission du 5 mai 2025 accordant une autorisation de l’Union pour le produit biocide unique dénommé </w:t>
      </w:r>
      <w:proofErr w:type="spellStart"/>
      <w:r w:rsidRPr="00413B54">
        <w:rPr>
          <w:rFonts w:ascii="Tenorite" w:hAnsi="Tenorite"/>
          <w:sz w:val="20"/>
          <w:szCs w:val="20"/>
        </w:rPr>
        <w:t>Chlorine</w:t>
      </w:r>
      <w:proofErr w:type="spellEnd"/>
      <w:r w:rsidRPr="00413B54">
        <w:rPr>
          <w:rFonts w:ascii="Tenorite" w:hAnsi="Tenorite"/>
          <w:sz w:val="20"/>
          <w:szCs w:val="20"/>
        </w:rPr>
        <w:t xml:space="preserve"> conformément au règlement (UE) no 528/2012 du Parlement européen et du Conseil (JOUE 06/05/2025)</w:t>
      </w:r>
    </w:p>
    <w:p w14:paraId="6E106538"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489006CA" w14:textId="77777777" w:rsidR="00186CB2" w:rsidRPr="00413B54" w:rsidRDefault="00186CB2" w:rsidP="00186CB2">
      <w:pPr>
        <w:shd w:val="clear" w:color="auto" w:fill="FFFFFF"/>
        <w:spacing w:after="0" w:line="240" w:lineRule="auto"/>
        <w:ind w:left="142"/>
        <w:jc w:val="both"/>
        <w:rPr>
          <w:rFonts w:ascii="Tenorite" w:hAnsi="Tenorite"/>
          <w:sz w:val="20"/>
          <w:szCs w:val="20"/>
        </w:rPr>
      </w:pPr>
      <w:hyperlink r:id="rId15"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2025/839 de la Commission du 5 mai 2025 octroyant une autorisation de l’Union pour la famille de produits biocides dénommée </w:t>
      </w:r>
      <w:proofErr w:type="spellStart"/>
      <w:r w:rsidRPr="00413B54">
        <w:rPr>
          <w:rFonts w:ascii="Tenorite" w:hAnsi="Tenorite"/>
          <w:sz w:val="20"/>
          <w:szCs w:val="20"/>
        </w:rPr>
        <w:t>Oxivir</w:t>
      </w:r>
      <w:proofErr w:type="spellEnd"/>
      <w:r w:rsidRPr="00413B54">
        <w:rPr>
          <w:rFonts w:ascii="Tenorite" w:hAnsi="Tenorite"/>
          <w:sz w:val="20"/>
          <w:szCs w:val="20"/>
        </w:rPr>
        <w:t xml:space="preserve"> Excel BPF conformément au règlement (UE) no 528/2012 du Parlement européen et du Conseil (JOUE 06/05/2025)</w:t>
      </w:r>
    </w:p>
    <w:p w14:paraId="58615A09"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29C7DF44" w14:textId="77777777" w:rsidR="00186CB2" w:rsidRDefault="00186CB2" w:rsidP="00186CB2">
      <w:pPr>
        <w:shd w:val="clear" w:color="auto" w:fill="FFFFFF"/>
        <w:spacing w:after="0" w:line="240" w:lineRule="auto"/>
        <w:ind w:left="142"/>
        <w:jc w:val="both"/>
        <w:rPr>
          <w:rFonts w:ascii="Tenorite" w:hAnsi="Tenorite"/>
          <w:sz w:val="20"/>
          <w:szCs w:val="20"/>
        </w:rPr>
      </w:pPr>
      <w:hyperlink r:id="rId16"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2025/845 de la Commission du 5 mai 2025 approuvant le fer élémentaire en tant que substance active à faible risque conformément au règlement (CE) no 1107/2009 du Parlement européen et du Conseil, et modifiant le règlement d’exécution (UE) no 540/2011 de la Commission (JOUE 06/05/2025)</w:t>
      </w:r>
    </w:p>
    <w:p w14:paraId="5560811E" w14:textId="77777777" w:rsidR="004D1F90" w:rsidRPr="00413B54" w:rsidRDefault="004D1F90" w:rsidP="00186CB2">
      <w:pPr>
        <w:shd w:val="clear" w:color="auto" w:fill="FFFFFF"/>
        <w:spacing w:after="0" w:line="240" w:lineRule="auto"/>
        <w:ind w:left="142"/>
        <w:jc w:val="both"/>
        <w:rPr>
          <w:rFonts w:ascii="Tenorite" w:hAnsi="Tenorite"/>
          <w:sz w:val="20"/>
          <w:szCs w:val="20"/>
        </w:rPr>
      </w:pPr>
    </w:p>
    <w:p w14:paraId="73CCFEEE" w14:textId="77777777" w:rsidR="00186CB2" w:rsidRDefault="00186CB2" w:rsidP="00186CB2">
      <w:pPr>
        <w:shd w:val="clear" w:color="auto" w:fill="FFFFFF"/>
        <w:spacing w:after="0" w:line="240" w:lineRule="auto"/>
        <w:ind w:left="142"/>
        <w:jc w:val="both"/>
        <w:rPr>
          <w:rFonts w:ascii="Tenorite" w:hAnsi="Tenorite"/>
          <w:sz w:val="20"/>
          <w:szCs w:val="20"/>
        </w:rPr>
      </w:pPr>
      <w:hyperlink r:id="rId17"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2025/881 de la Commission du 7 mai 2025 modifiant les règlements d’exécution (UE) 2019/1085 et (UE) no 540/2011 en ce qui concerne les conditions d’approbation de la substance active 1-méthylcyclopropène (JOUE 08/05/2025)</w:t>
      </w:r>
    </w:p>
    <w:p w14:paraId="7AE27F0F"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1A5CD864" w14:textId="77777777" w:rsidR="00186CB2" w:rsidRDefault="00186CB2" w:rsidP="00186CB2">
      <w:pPr>
        <w:shd w:val="clear" w:color="auto" w:fill="FFFFFF"/>
        <w:spacing w:after="0" w:line="240" w:lineRule="auto"/>
        <w:ind w:left="142"/>
        <w:jc w:val="both"/>
        <w:rPr>
          <w:rFonts w:ascii="Tenorite" w:hAnsi="Tenorite"/>
          <w:sz w:val="20"/>
          <w:szCs w:val="20"/>
        </w:rPr>
      </w:pPr>
      <w:hyperlink r:id="rId18"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2025/910 de la Commission du 20 mai 2025 portant sur le non-renouvellement de l’approbation de la substance active flufénacet conformément au règlement (CE) no 1107/2009 du Parlement européen et du Conseil, et modifiant les règlements d’exécution (UE) no 540/2011 et (UE) 2015/408 de la Commission (JOUE 21/05/2025)</w:t>
      </w:r>
    </w:p>
    <w:p w14:paraId="286309D4"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76E62567" w14:textId="77777777" w:rsidR="00186CB2" w:rsidRDefault="00186CB2" w:rsidP="00186CB2">
      <w:pPr>
        <w:shd w:val="clear" w:color="auto" w:fill="FFFFFF"/>
        <w:spacing w:after="0" w:line="240" w:lineRule="auto"/>
        <w:ind w:left="142"/>
        <w:jc w:val="both"/>
        <w:rPr>
          <w:rFonts w:ascii="Tenorite" w:hAnsi="Tenorite"/>
          <w:sz w:val="20"/>
          <w:szCs w:val="20"/>
        </w:rPr>
      </w:pPr>
      <w:hyperlink r:id="rId19"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2025/929 de la Commission du 21 mai 2025 approuvant la 1,2-benzisothiazol-3(2</w:t>
      </w:r>
      <w:proofErr w:type="gramStart"/>
      <w:r w:rsidRPr="00413B54">
        <w:rPr>
          <w:rFonts w:ascii="Tenorite" w:hAnsi="Tenorite"/>
          <w:sz w:val="20"/>
          <w:szCs w:val="20"/>
        </w:rPr>
        <w:t>H)-</w:t>
      </w:r>
      <w:proofErr w:type="gramEnd"/>
      <w:r w:rsidRPr="00413B54">
        <w:rPr>
          <w:rFonts w:ascii="Tenorite" w:hAnsi="Tenorite"/>
          <w:sz w:val="20"/>
          <w:szCs w:val="20"/>
        </w:rPr>
        <w:t>one (BIT) en tant que substance active existante destinée à être utilisée dans les produits biocides des types de produits 6 et 13 conformément au règlement (UE) no 528/2012 du Parlement européen et du Conseil (JOUE 22/05/2025)</w:t>
      </w:r>
    </w:p>
    <w:p w14:paraId="1F61723B"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7635DFA5" w14:textId="77777777" w:rsidR="00186CB2" w:rsidRDefault="00186CB2" w:rsidP="00186CB2">
      <w:pPr>
        <w:shd w:val="clear" w:color="auto" w:fill="FFFFFF"/>
        <w:spacing w:after="0" w:line="240" w:lineRule="auto"/>
        <w:ind w:left="142"/>
        <w:jc w:val="both"/>
        <w:rPr>
          <w:rFonts w:ascii="Tenorite" w:hAnsi="Tenorite"/>
          <w:sz w:val="20"/>
          <w:szCs w:val="20"/>
        </w:rPr>
      </w:pPr>
      <w:hyperlink r:id="rId20"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2025/930 de la Commission du 21 mai 2025 accordant une autorisation de l’Union pour le produit biocide unique dénommé </w:t>
      </w:r>
      <w:proofErr w:type="spellStart"/>
      <w:r w:rsidRPr="00413B54">
        <w:rPr>
          <w:rFonts w:ascii="Tenorite" w:hAnsi="Tenorite"/>
          <w:sz w:val="20"/>
          <w:szCs w:val="20"/>
        </w:rPr>
        <w:t>Fernox</w:t>
      </w:r>
      <w:proofErr w:type="spellEnd"/>
      <w:r w:rsidRPr="00413B54">
        <w:rPr>
          <w:rFonts w:ascii="Tenorite" w:hAnsi="Tenorite"/>
          <w:sz w:val="20"/>
          <w:szCs w:val="20"/>
        </w:rPr>
        <w:t xml:space="preserve"> Biocide AF10 conformément au règlement (UE) no 528/2012 du Parlement européen et du Conseil (JOUE 22/05/2025)</w:t>
      </w:r>
    </w:p>
    <w:p w14:paraId="4A10FEF3"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0BD1A745" w14:textId="77777777" w:rsidR="00186CB2" w:rsidRDefault="00186CB2" w:rsidP="00186CB2">
      <w:pPr>
        <w:shd w:val="clear" w:color="auto" w:fill="FFFFFF"/>
        <w:spacing w:after="0" w:line="240" w:lineRule="auto"/>
        <w:ind w:left="142"/>
        <w:jc w:val="both"/>
        <w:rPr>
          <w:rFonts w:ascii="Tenorite" w:hAnsi="Tenorite"/>
          <w:sz w:val="20"/>
          <w:szCs w:val="20"/>
        </w:rPr>
      </w:pPr>
      <w:hyperlink r:id="rId21"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2025/937 de la Commission du 21 mai 2025 approuvant le 2,2-dibromo-2-cyanoacétamide (DBNPA) en tant que substance active existante destinée à être utilisée dans des produits biocides relevant du type de produits 6 conformément au règlement (UE) no 528/2012 du Parlement européen et du Conseil (JOUE 22/05/2025)</w:t>
      </w:r>
    </w:p>
    <w:p w14:paraId="027EE078"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050AABF5" w14:textId="77777777" w:rsidR="00186CB2" w:rsidRDefault="00186CB2" w:rsidP="00186CB2">
      <w:pPr>
        <w:shd w:val="clear" w:color="auto" w:fill="FFFFFF"/>
        <w:spacing w:after="0" w:line="240" w:lineRule="auto"/>
        <w:ind w:left="142"/>
        <w:jc w:val="both"/>
        <w:rPr>
          <w:rFonts w:ascii="Tenorite" w:hAnsi="Tenorite"/>
          <w:sz w:val="20"/>
          <w:szCs w:val="20"/>
        </w:rPr>
      </w:pPr>
      <w:hyperlink r:id="rId22"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2025/975 de la Commission du 16 mai 2025 accordant une autorisation de l’Union pour la famille de produits biocides dénommée </w:t>
      </w:r>
      <w:proofErr w:type="spellStart"/>
      <w:r w:rsidRPr="00413B54">
        <w:rPr>
          <w:rFonts w:ascii="Tenorite" w:hAnsi="Tenorite"/>
          <w:sz w:val="20"/>
          <w:szCs w:val="20"/>
        </w:rPr>
        <w:t>Transfluthrin</w:t>
      </w:r>
      <w:proofErr w:type="spellEnd"/>
      <w:r w:rsidRPr="00413B54">
        <w:rPr>
          <w:rFonts w:ascii="Tenorite" w:hAnsi="Tenorite"/>
          <w:sz w:val="20"/>
          <w:szCs w:val="20"/>
        </w:rPr>
        <w:t xml:space="preserve"> </w:t>
      </w:r>
      <w:proofErr w:type="spellStart"/>
      <w:r w:rsidRPr="00413B54">
        <w:rPr>
          <w:rFonts w:ascii="Tenorite" w:hAnsi="Tenorite"/>
          <w:sz w:val="20"/>
          <w:szCs w:val="20"/>
        </w:rPr>
        <w:t>emanators</w:t>
      </w:r>
      <w:proofErr w:type="spellEnd"/>
      <w:r w:rsidRPr="00413B54">
        <w:rPr>
          <w:rFonts w:ascii="Tenorite" w:hAnsi="Tenorite"/>
          <w:sz w:val="20"/>
          <w:szCs w:val="20"/>
        </w:rPr>
        <w:t xml:space="preserve"> UA BPF conformément au règlement (UE) no 528/2012 du Parlement européen et du Conseil (JOUE 23/05/2025)</w:t>
      </w:r>
    </w:p>
    <w:p w14:paraId="43E23A93"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057377BA" w14:textId="77777777" w:rsidR="00186CB2" w:rsidRDefault="00186CB2" w:rsidP="00186CB2">
      <w:pPr>
        <w:shd w:val="clear" w:color="auto" w:fill="FFFFFF"/>
        <w:spacing w:after="0" w:line="240" w:lineRule="auto"/>
        <w:ind w:left="142"/>
        <w:jc w:val="both"/>
        <w:rPr>
          <w:rFonts w:ascii="Tenorite" w:hAnsi="Tenorite"/>
          <w:sz w:val="20"/>
          <w:szCs w:val="20"/>
        </w:rPr>
      </w:pPr>
      <w:hyperlink r:id="rId23" w:history="1">
        <w:r w:rsidRPr="00413B54">
          <w:rPr>
            <w:rStyle w:val="Lienhypertexte"/>
            <w:rFonts w:ascii="Tenorite" w:hAnsi="Tenorite"/>
            <w:sz w:val="20"/>
            <w:szCs w:val="20"/>
          </w:rPr>
          <w:t>Décision</w:t>
        </w:r>
      </w:hyperlink>
      <w:r w:rsidRPr="00413B54">
        <w:rPr>
          <w:rFonts w:ascii="Tenorite" w:hAnsi="Tenorite"/>
          <w:sz w:val="20"/>
          <w:szCs w:val="20"/>
        </w:rPr>
        <w:t xml:space="preserve"> d’exécution (UE) 2025/944 de la Commission du 22 mai 2025 reportant la date d’expiration de l’approbation du carbonate de DDA en vue de son utilisation dans les produits biocides relevant du type de produits 8, conformément au règlement (UE) no 528/2012 du Parlement européen et du Conseil (JOUE 23/05/2025)</w:t>
      </w:r>
    </w:p>
    <w:p w14:paraId="3DC9E9FA"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39C4C402" w14:textId="77777777" w:rsidR="00186CB2" w:rsidRDefault="00186CB2" w:rsidP="00186CB2">
      <w:pPr>
        <w:shd w:val="clear" w:color="auto" w:fill="FFFFFF"/>
        <w:spacing w:after="0" w:line="240" w:lineRule="auto"/>
        <w:ind w:left="142"/>
        <w:jc w:val="both"/>
        <w:rPr>
          <w:rFonts w:ascii="Tenorite" w:hAnsi="Tenorite"/>
          <w:sz w:val="20"/>
          <w:szCs w:val="20"/>
        </w:rPr>
      </w:pPr>
      <w:hyperlink r:id="rId24" w:history="1">
        <w:r w:rsidRPr="00413B54">
          <w:rPr>
            <w:rStyle w:val="Lienhypertexte"/>
            <w:rFonts w:ascii="Tenorite" w:hAnsi="Tenorite"/>
            <w:sz w:val="20"/>
            <w:szCs w:val="20"/>
          </w:rPr>
          <w:t>Décision</w:t>
        </w:r>
      </w:hyperlink>
      <w:r w:rsidRPr="00413B54">
        <w:rPr>
          <w:rFonts w:ascii="Tenorite" w:hAnsi="Tenorite"/>
          <w:sz w:val="20"/>
          <w:szCs w:val="20"/>
        </w:rPr>
        <w:t xml:space="preserve"> d’exécution (UE) 2025/945 de la Commission du 22 mai 2025 reportant la date d’expiration de l’approbation de l’acide nonanoïque en vue de son utilisation dans les produits biocides relevant du type de produits 2, conformément au règlement (UE) no 528/2012 du Parlement européen et du Conseil (JOUE 23/05/2025)</w:t>
      </w:r>
    </w:p>
    <w:p w14:paraId="60168359"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4CA0455C" w14:textId="77777777" w:rsidR="00186CB2" w:rsidRDefault="00186CB2" w:rsidP="00186CB2">
      <w:pPr>
        <w:shd w:val="clear" w:color="auto" w:fill="FFFFFF"/>
        <w:spacing w:after="0" w:line="240" w:lineRule="auto"/>
        <w:ind w:left="142"/>
        <w:jc w:val="both"/>
        <w:rPr>
          <w:rFonts w:ascii="Tenorite" w:hAnsi="Tenorite"/>
          <w:sz w:val="20"/>
          <w:szCs w:val="20"/>
        </w:rPr>
      </w:pPr>
      <w:hyperlink r:id="rId25" w:history="1">
        <w:r w:rsidRPr="00413B54">
          <w:rPr>
            <w:rStyle w:val="Lienhypertexte"/>
            <w:rFonts w:ascii="Tenorite" w:hAnsi="Tenorite"/>
            <w:sz w:val="20"/>
            <w:szCs w:val="20"/>
          </w:rPr>
          <w:t>Décision</w:t>
        </w:r>
      </w:hyperlink>
      <w:r w:rsidRPr="00413B54">
        <w:rPr>
          <w:rFonts w:ascii="Tenorite" w:hAnsi="Tenorite"/>
          <w:sz w:val="20"/>
          <w:szCs w:val="20"/>
        </w:rPr>
        <w:t xml:space="preserve"> d’exécution (UE) 2025/946 de la Commission du 22 mai 2025 reportant la date d’expiration de l’approbation de l’acide octanoïque en vue de son utilisation dans les produits biocides relevant du type de produits 4, conformément au règlement (UE) no 528/2012 du Parlement européen et du Conseil (JOUE 23/05/2025)</w:t>
      </w:r>
    </w:p>
    <w:p w14:paraId="2850A429"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3B91C2F3" w14:textId="77777777" w:rsidR="00186CB2" w:rsidRDefault="00186CB2" w:rsidP="00186CB2">
      <w:pPr>
        <w:shd w:val="clear" w:color="auto" w:fill="FFFFFF"/>
        <w:spacing w:after="0" w:line="240" w:lineRule="auto"/>
        <w:ind w:left="142"/>
        <w:jc w:val="both"/>
        <w:rPr>
          <w:rFonts w:ascii="Tenorite" w:hAnsi="Tenorite"/>
          <w:sz w:val="20"/>
          <w:szCs w:val="20"/>
        </w:rPr>
      </w:pPr>
      <w:hyperlink r:id="rId26" w:history="1">
        <w:r w:rsidRPr="00413B54">
          <w:rPr>
            <w:rStyle w:val="Lienhypertexte"/>
            <w:rFonts w:ascii="Tenorite" w:hAnsi="Tenorite"/>
            <w:sz w:val="20"/>
            <w:szCs w:val="20"/>
          </w:rPr>
          <w:t>Décision</w:t>
        </w:r>
      </w:hyperlink>
      <w:r w:rsidRPr="00413B54">
        <w:rPr>
          <w:rFonts w:ascii="Tenorite" w:hAnsi="Tenorite"/>
          <w:sz w:val="20"/>
          <w:szCs w:val="20"/>
        </w:rPr>
        <w:t xml:space="preserve"> d’exécution (UE) 2025/947 de la Commission du 22 mai 2025 reportant la date d’expiration de l’approbation de l’iode en vue de son utilisation dans les produits biocides relevant du type de produits 3, conformément au règlement (UE) no 528/2012 du Parlement européen et du Conseil (JOUE 23/05/2025)</w:t>
      </w:r>
    </w:p>
    <w:p w14:paraId="4D75FB7F"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61F0A6A9" w14:textId="77777777" w:rsidR="00186CB2" w:rsidRDefault="00186CB2" w:rsidP="00186CB2">
      <w:pPr>
        <w:shd w:val="clear" w:color="auto" w:fill="FFFFFF"/>
        <w:spacing w:after="0" w:line="240" w:lineRule="auto"/>
        <w:ind w:left="142"/>
        <w:jc w:val="both"/>
        <w:rPr>
          <w:rFonts w:ascii="Tenorite" w:hAnsi="Tenorite"/>
          <w:sz w:val="20"/>
          <w:szCs w:val="20"/>
        </w:rPr>
      </w:pPr>
      <w:hyperlink r:id="rId27" w:history="1">
        <w:r w:rsidRPr="00413B54">
          <w:rPr>
            <w:rStyle w:val="Lienhypertexte"/>
            <w:rFonts w:ascii="Tenorite" w:hAnsi="Tenorite"/>
            <w:sz w:val="20"/>
            <w:szCs w:val="20"/>
          </w:rPr>
          <w:t>Décision</w:t>
        </w:r>
      </w:hyperlink>
      <w:r w:rsidRPr="00413B54">
        <w:rPr>
          <w:rFonts w:ascii="Tenorite" w:hAnsi="Tenorite"/>
          <w:sz w:val="20"/>
          <w:szCs w:val="20"/>
        </w:rPr>
        <w:t xml:space="preserve"> d’exécution (UE) 2025/952 de la Commission du 22 mai 2025 reportant la date d’expiration de l’approbation du (S)-méthoprène en vue de son utilisation dans les produits biocides relevant du type de produits 18, conformément au règlement (UE) no 528/2012 du Parlement européen et du Conseil (JOUE 23/05/2025)</w:t>
      </w:r>
    </w:p>
    <w:p w14:paraId="6351AAA7"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359A662E" w14:textId="77777777" w:rsidR="00186CB2" w:rsidRDefault="00186CB2" w:rsidP="00186CB2">
      <w:pPr>
        <w:shd w:val="clear" w:color="auto" w:fill="FFFFFF"/>
        <w:spacing w:after="0" w:line="240" w:lineRule="auto"/>
        <w:ind w:left="142"/>
        <w:jc w:val="both"/>
        <w:rPr>
          <w:rFonts w:ascii="Tenorite" w:hAnsi="Tenorite"/>
          <w:sz w:val="20"/>
          <w:szCs w:val="20"/>
        </w:rPr>
      </w:pPr>
      <w:hyperlink r:id="rId28" w:history="1">
        <w:r w:rsidRPr="00413B54">
          <w:rPr>
            <w:rStyle w:val="Lienhypertexte"/>
            <w:rFonts w:ascii="Tenorite" w:hAnsi="Tenorite"/>
            <w:sz w:val="20"/>
            <w:szCs w:val="20"/>
          </w:rPr>
          <w:t>Décision</w:t>
        </w:r>
      </w:hyperlink>
      <w:r w:rsidRPr="00413B54">
        <w:rPr>
          <w:rFonts w:ascii="Tenorite" w:hAnsi="Tenorite"/>
          <w:sz w:val="20"/>
          <w:szCs w:val="20"/>
        </w:rPr>
        <w:t xml:space="preserve"> d’exécution (UE) 2025/953 de la Commission du 23 mai 2025 reportant la date d’expiration de l’approbation de la </w:t>
      </w:r>
      <w:proofErr w:type="spellStart"/>
      <w:r w:rsidRPr="00413B54">
        <w:rPr>
          <w:rFonts w:ascii="Tenorite" w:hAnsi="Tenorite"/>
          <w:sz w:val="20"/>
          <w:szCs w:val="20"/>
        </w:rPr>
        <w:t>médétomidine</w:t>
      </w:r>
      <w:proofErr w:type="spellEnd"/>
      <w:r w:rsidRPr="00413B54">
        <w:rPr>
          <w:rFonts w:ascii="Tenorite" w:hAnsi="Tenorite"/>
          <w:sz w:val="20"/>
          <w:szCs w:val="20"/>
        </w:rPr>
        <w:t xml:space="preserve"> en vue de son utilisation dans les produits biocides relevant du type de produits 21, conformément au règlement (UE) no 528/2012 du Parlement européen et du Conseil (JOUE 23/05/2025)</w:t>
      </w:r>
    </w:p>
    <w:p w14:paraId="68369F0C" w14:textId="4F0CB577" w:rsidR="00186CB2" w:rsidRPr="00413B54" w:rsidRDefault="00186CB2" w:rsidP="00186CB2">
      <w:pPr>
        <w:shd w:val="clear" w:color="auto" w:fill="FFFFFF"/>
        <w:spacing w:after="0" w:line="240" w:lineRule="auto"/>
        <w:ind w:left="142"/>
        <w:jc w:val="both"/>
        <w:rPr>
          <w:rFonts w:ascii="Tenorite" w:hAnsi="Tenorite"/>
          <w:sz w:val="20"/>
          <w:szCs w:val="20"/>
        </w:rPr>
      </w:pPr>
      <w:r w:rsidRPr="00413B54">
        <w:rPr>
          <w:rFonts w:ascii="Tenorite" w:hAnsi="Tenorite"/>
          <w:sz w:val="20"/>
          <w:szCs w:val="20"/>
        </w:rPr>
        <w:br/>
      </w:r>
      <w:hyperlink r:id="rId29" w:history="1">
        <w:r w:rsidRPr="00413B54">
          <w:rPr>
            <w:rStyle w:val="Lienhypertexte"/>
            <w:rFonts w:ascii="Tenorite" w:hAnsi="Tenorite"/>
            <w:sz w:val="20"/>
            <w:szCs w:val="20"/>
          </w:rPr>
          <w:t>Décision</w:t>
        </w:r>
      </w:hyperlink>
      <w:r w:rsidRPr="00413B54">
        <w:rPr>
          <w:rFonts w:ascii="Tenorite" w:hAnsi="Tenorite"/>
          <w:sz w:val="20"/>
          <w:szCs w:val="20"/>
        </w:rPr>
        <w:t xml:space="preserve"> d’exécution (UE) 2025/970 de la Commission du 22 mai 2025 reportant la date d’expiration de l’approbation de l’IPBC en vue de son utilisation dans les produits biocides relevant du type de produits 8, conformément au règlement (UE) no 528/2012 du Parlement européen et du Conseil (JOUE 23/05/2025)</w:t>
      </w:r>
    </w:p>
    <w:p w14:paraId="128080A7" w14:textId="77777777" w:rsidR="00186CB2" w:rsidRDefault="00186CB2" w:rsidP="00186CB2">
      <w:pPr>
        <w:shd w:val="clear" w:color="auto" w:fill="FFFFFF"/>
        <w:spacing w:after="0" w:line="240" w:lineRule="auto"/>
        <w:ind w:left="142"/>
        <w:jc w:val="both"/>
        <w:rPr>
          <w:rFonts w:ascii="Tenorite" w:hAnsi="Tenorite"/>
          <w:sz w:val="20"/>
          <w:szCs w:val="20"/>
        </w:rPr>
      </w:pPr>
      <w:hyperlink r:id="rId30" w:history="1">
        <w:r w:rsidRPr="00413B54">
          <w:rPr>
            <w:rStyle w:val="Lienhypertexte"/>
            <w:rFonts w:ascii="Tenorite" w:hAnsi="Tenorite"/>
            <w:sz w:val="20"/>
            <w:szCs w:val="20"/>
          </w:rPr>
          <w:t>Décision</w:t>
        </w:r>
      </w:hyperlink>
      <w:r w:rsidRPr="00413B54">
        <w:rPr>
          <w:rFonts w:ascii="Tenorite" w:hAnsi="Tenorite"/>
          <w:sz w:val="20"/>
          <w:szCs w:val="20"/>
        </w:rPr>
        <w:t xml:space="preserve"> d’exécution (UE) 2025/998 de la Commission du 22 mai 2025 reportant la date d’expiration de l’approbation du bis(N-</w:t>
      </w:r>
      <w:proofErr w:type="spellStart"/>
      <w:r w:rsidRPr="00413B54">
        <w:rPr>
          <w:rFonts w:ascii="Tenorite" w:hAnsi="Tenorite"/>
          <w:sz w:val="20"/>
          <w:szCs w:val="20"/>
        </w:rPr>
        <w:t>cyclohexyl</w:t>
      </w:r>
      <w:proofErr w:type="spellEnd"/>
      <w:r w:rsidRPr="00413B54">
        <w:rPr>
          <w:rFonts w:ascii="Tenorite" w:hAnsi="Tenorite"/>
          <w:sz w:val="20"/>
          <w:szCs w:val="20"/>
        </w:rPr>
        <w:t>-</w:t>
      </w:r>
      <w:proofErr w:type="spellStart"/>
      <w:r w:rsidRPr="00413B54">
        <w:rPr>
          <w:rFonts w:ascii="Tenorite" w:hAnsi="Tenorite"/>
          <w:sz w:val="20"/>
          <w:szCs w:val="20"/>
        </w:rPr>
        <w:t>diazonium-</w:t>
      </w:r>
      <w:proofErr w:type="gramStart"/>
      <w:r w:rsidRPr="00413B54">
        <w:rPr>
          <w:rFonts w:ascii="Tenorite" w:hAnsi="Tenorite"/>
          <w:sz w:val="20"/>
          <w:szCs w:val="20"/>
        </w:rPr>
        <w:t>dioxy</w:t>
      </w:r>
      <w:proofErr w:type="spellEnd"/>
      <w:r w:rsidRPr="00413B54">
        <w:rPr>
          <w:rFonts w:ascii="Tenorite" w:hAnsi="Tenorite"/>
          <w:sz w:val="20"/>
          <w:szCs w:val="20"/>
        </w:rPr>
        <w:t>)cuivre</w:t>
      </w:r>
      <w:proofErr w:type="gramEnd"/>
      <w:r w:rsidRPr="00413B54">
        <w:rPr>
          <w:rFonts w:ascii="Tenorite" w:hAnsi="Tenorite"/>
          <w:sz w:val="20"/>
          <w:szCs w:val="20"/>
        </w:rPr>
        <w:t xml:space="preserve"> (Cu-HDO) en vue de son utilisation dans les produits biocides relevant du type de produits 8, conformément au règlement (UE) no 528/2012 du Parlement européen et du Conseil (JOUE 23/05/2025)</w:t>
      </w:r>
    </w:p>
    <w:p w14:paraId="0BF33B71"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66D452B8" w14:textId="77777777" w:rsidR="00186CB2" w:rsidRDefault="00186CB2" w:rsidP="00186CB2">
      <w:pPr>
        <w:shd w:val="clear" w:color="auto" w:fill="FFFFFF"/>
        <w:spacing w:after="0" w:line="240" w:lineRule="auto"/>
        <w:ind w:left="142"/>
        <w:jc w:val="both"/>
        <w:rPr>
          <w:rFonts w:ascii="Tenorite" w:hAnsi="Tenorite"/>
          <w:sz w:val="20"/>
          <w:szCs w:val="20"/>
        </w:rPr>
      </w:pPr>
      <w:hyperlink r:id="rId31"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2025/999 de la Commission du 23 mai 2025 accordant une autorisation de l’Union pour le produit biocide unique dénommé </w:t>
      </w:r>
      <w:proofErr w:type="spellStart"/>
      <w:r w:rsidRPr="00413B54">
        <w:rPr>
          <w:rFonts w:ascii="Tenorite" w:hAnsi="Tenorite"/>
          <w:sz w:val="20"/>
          <w:szCs w:val="20"/>
        </w:rPr>
        <w:t>Hydrocid</w:t>
      </w:r>
      <w:proofErr w:type="spellEnd"/>
      <w:r w:rsidRPr="00413B54">
        <w:rPr>
          <w:rFonts w:ascii="Tenorite" w:hAnsi="Tenorite"/>
          <w:sz w:val="20"/>
          <w:szCs w:val="20"/>
        </w:rPr>
        <w:t xml:space="preserve"> 306 conformément au règlement (UE) no 528/2012 du Parlement européen et du Conseil (JOUE 26/05/2025)</w:t>
      </w:r>
    </w:p>
    <w:p w14:paraId="56D4DE8E"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7A7644B1" w14:textId="77777777" w:rsidR="00186CB2" w:rsidRDefault="00186CB2" w:rsidP="00186CB2">
      <w:pPr>
        <w:shd w:val="clear" w:color="auto" w:fill="FFFFFF"/>
        <w:spacing w:after="0" w:line="240" w:lineRule="auto"/>
        <w:ind w:left="142"/>
        <w:jc w:val="both"/>
        <w:rPr>
          <w:rFonts w:ascii="Tenorite" w:hAnsi="Tenorite"/>
          <w:sz w:val="20"/>
          <w:szCs w:val="20"/>
        </w:rPr>
      </w:pPr>
      <w:hyperlink r:id="rId32" w:history="1">
        <w:r w:rsidRPr="00413B54">
          <w:rPr>
            <w:rStyle w:val="Lienhypertexte"/>
            <w:rFonts w:ascii="Tenorite" w:hAnsi="Tenorite"/>
            <w:sz w:val="20"/>
            <w:szCs w:val="20"/>
          </w:rPr>
          <w:t>Décision</w:t>
        </w:r>
      </w:hyperlink>
      <w:r w:rsidRPr="00413B54">
        <w:rPr>
          <w:rFonts w:ascii="Tenorite" w:hAnsi="Tenorite"/>
          <w:sz w:val="20"/>
          <w:szCs w:val="20"/>
        </w:rPr>
        <w:t xml:space="preserve"> d’exécution (UE) 2025/949 de la Commission du 22 mai 2025 reportant la date d’expiration de l’approbation de l’acide </w:t>
      </w:r>
      <w:proofErr w:type="spellStart"/>
      <w:r w:rsidRPr="00413B54">
        <w:rPr>
          <w:rFonts w:ascii="Tenorite" w:hAnsi="Tenorite"/>
          <w:sz w:val="20"/>
          <w:szCs w:val="20"/>
        </w:rPr>
        <w:t>décanoïque</w:t>
      </w:r>
      <w:proofErr w:type="spellEnd"/>
      <w:r w:rsidRPr="00413B54">
        <w:rPr>
          <w:rFonts w:ascii="Tenorite" w:hAnsi="Tenorite"/>
          <w:sz w:val="20"/>
          <w:szCs w:val="20"/>
        </w:rPr>
        <w:t xml:space="preserve"> en vue de son utilisation dans les produits biocides relevant du type de produits 4, conformément au règlement (UE) no 528/2012 du Parlement européen et du Conseil (JOUE 26/05/2025)</w:t>
      </w:r>
    </w:p>
    <w:p w14:paraId="00E9D5D2"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26363110" w14:textId="77777777" w:rsidR="00186CB2" w:rsidRDefault="00186CB2" w:rsidP="00186CB2">
      <w:pPr>
        <w:shd w:val="clear" w:color="auto" w:fill="FFFFFF"/>
        <w:spacing w:after="0" w:line="240" w:lineRule="auto"/>
        <w:ind w:left="142"/>
        <w:jc w:val="both"/>
        <w:rPr>
          <w:rFonts w:ascii="Tenorite" w:hAnsi="Tenorite"/>
          <w:sz w:val="20"/>
          <w:szCs w:val="20"/>
        </w:rPr>
      </w:pPr>
      <w:hyperlink r:id="rId33" w:history="1">
        <w:r w:rsidRPr="00413B54">
          <w:rPr>
            <w:rStyle w:val="Lienhypertexte"/>
            <w:rFonts w:ascii="Tenorite" w:hAnsi="Tenorite"/>
            <w:sz w:val="20"/>
            <w:szCs w:val="20"/>
          </w:rPr>
          <w:t>Décision</w:t>
        </w:r>
      </w:hyperlink>
      <w:r w:rsidRPr="00413B54">
        <w:rPr>
          <w:rFonts w:ascii="Tenorite" w:hAnsi="Tenorite"/>
          <w:sz w:val="20"/>
          <w:szCs w:val="20"/>
        </w:rPr>
        <w:t xml:space="preserve"> d’exécution (UE) 2025/950 de la Commission du 22 mai 2025 reportant la date d’expiration de l’approbation de la (1</w:t>
      </w:r>
      <w:proofErr w:type="gramStart"/>
      <w:r w:rsidRPr="00413B54">
        <w:rPr>
          <w:rFonts w:ascii="Tenorite" w:hAnsi="Tenorite"/>
          <w:sz w:val="20"/>
          <w:szCs w:val="20"/>
        </w:rPr>
        <w:t>R)-</w:t>
      </w:r>
      <w:proofErr w:type="gramEnd"/>
      <w:r w:rsidRPr="00413B54">
        <w:rPr>
          <w:rFonts w:ascii="Tenorite" w:hAnsi="Tenorite"/>
          <w:sz w:val="20"/>
          <w:szCs w:val="20"/>
        </w:rPr>
        <w:t>trans-</w:t>
      </w:r>
      <w:proofErr w:type="spellStart"/>
      <w:r w:rsidRPr="00413B54">
        <w:rPr>
          <w:rFonts w:ascii="Tenorite" w:hAnsi="Tenorite"/>
          <w:sz w:val="20"/>
          <w:szCs w:val="20"/>
        </w:rPr>
        <w:t>phénothrine</w:t>
      </w:r>
      <w:proofErr w:type="spellEnd"/>
      <w:r w:rsidRPr="00413B54">
        <w:rPr>
          <w:rFonts w:ascii="Tenorite" w:hAnsi="Tenorite"/>
          <w:sz w:val="20"/>
          <w:szCs w:val="20"/>
        </w:rPr>
        <w:t xml:space="preserve"> en vue de son utilisation dans des produits biocides relevant du type de produits 18, conformément au règlement (UE) no 528/2012 du Parlement européen et du Conseil (JOUE 26/05/2025)</w:t>
      </w:r>
    </w:p>
    <w:p w14:paraId="4F7C3557"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080508E9" w14:textId="77777777" w:rsidR="00186CB2" w:rsidRDefault="00186CB2" w:rsidP="00186CB2">
      <w:pPr>
        <w:shd w:val="clear" w:color="auto" w:fill="FFFFFF"/>
        <w:spacing w:after="0" w:line="240" w:lineRule="auto"/>
        <w:ind w:left="142"/>
        <w:jc w:val="both"/>
        <w:rPr>
          <w:rFonts w:ascii="Tenorite" w:hAnsi="Tenorite"/>
          <w:sz w:val="20"/>
          <w:szCs w:val="20"/>
        </w:rPr>
      </w:pPr>
      <w:hyperlink r:id="rId34" w:history="1">
        <w:r w:rsidRPr="00413B54">
          <w:rPr>
            <w:rStyle w:val="Lienhypertexte"/>
            <w:rFonts w:ascii="Tenorite" w:hAnsi="Tenorite"/>
            <w:sz w:val="20"/>
            <w:szCs w:val="20"/>
          </w:rPr>
          <w:t>Décision</w:t>
        </w:r>
      </w:hyperlink>
      <w:r w:rsidRPr="00413B54">
        <w:rPr>
          <w:rFonts w:ascii="Tenorite" w:hAnsi="Tenorite"/>
          <w:sz w:val="20"/>
          <w:szCs w:val="20"/>
        </w:rPr>
        <w:t xml:space="preserve"> d’exécution (UE) 2025/951 de la Commission du 22 mai 2025 reportant la date d’expiration de l’approbation de la </w:t>
      </w:r>
      <w:proofErr w:type="spellStart"/>
      <w:r w:rsidRPr="00413B54">
        <w:rPr>
          <w:rFonts w:ascii="Tenorite" w:hAnsi="Tenorite"/>
          <w:sz w:val="20"/>
          <w:szCs w:val="20"/>
        </w:rPr>
        <w:t>polyvinylpyrrolidone</w:t>
      </w:r>
      <w:proofErr w:type="spellEnd"/>
      <w:r w:rsidRPr="00413B54">
        <w:rPr>
          <w:rFonts w:ascii="Tenorite" w:hAnsi="Tenorite"/>
          <w:sz w:val="20"/>
          <w:szCs w:val="20"/>
        </w:rPr>
        <w:t xml:space="preserve"> iodée en vue de son utilisation dans les produits biocides relevant des types de produits 1 et 3, conformément au règlement (UE) no 528/2012 du Parlement européen et du Conseil (JOUE 26/05/2025)</w:t>
      </w:r>
    </w:p>
    <w:p w14:paraId="705B5C84"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44337ACE" w14:textId="77777777" w:rsidR="00186CB2" w:rsidRDefault="00186CB2" w:rsidP="00186CB2">
      <w:pPr>
        <w:shd w:val="clear" w:color="auto" w:fill="FFFFFF"/>
        <w:spacing w:after="0" w:line="240" w:lineRule="auto"/>
        <w:ind w:left="142"/>
        <w:jc w:val="both"/>
        <w:rPr>
          <w:rFonts w:ascii="Tenorite" w:hAnsi="Tenorite"/>
          <w:sz w:val="20"/>
          <w:szCs w:val="20"/>
        </w:rPr>
      </w:pPr>
      <w:hyperlink r:id="rId35"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2025/1019 de la Commission du 26 mai 2025 accordant une autorisation de l’Union pour la famille de produits biocides dénommée </w:t>
      </w:r>
      <w:proofErr w:type="spellStart"/>
      <w:r w:rsidRPr="00413B54">
        <w:rPr>
          <w:rFonts w:ascii="Tenorite" w:hAnsi="Tenorite"/>
          <w:sz w:val="20"/>
          <w:szCs w:val="20"/>
        </w:rPr>
        <w:t>Lactic</w:t>
      </w:r>
      <w:proofErr w:type="spellEnd"/>
      <w:r w:rsidRPr="00413B54">
        <w:rPr>
          <w:rFonts w:ascii="Tenorite" w:hAnsi="Tenorite"/>
          <w:sz w:val="20"/>
          <w:szCs w:val="20"/>
        </w:rPr>
        <w:t xml:space="preserve"> Acid </w:t>
      </w:r>
      <w:proofErr w:type="spellStart"/>
      <w:r w:rsidRPr="00413B54">
        <w:rPr>
          <w:rFonts w:ascii="Tenorite" w:hAnsi="Tenorite"/>
          <w:sz w:val="20"/>
          <w:szCs w:val="20"/>
        </w:rPr>
        <w:t>Teatdip</w:t>
      </w:r>
      <w:proofErr w:type="spellEnd"/>
      <w:r w:rsidRPr="00413B54">
        <w:rPr>
          <w:rFonts w:ascii="Tenorite" w:hAnsi="Tenorite"/>
          <w:sz w:val="20"/>
          <w:szCs w:val="20"/>
        </w:rPr>
        <w:t xml:space="preserve"> </w:t>
      </w:r>
      <w:proofErr w:type="spellStart"/>
      <w:r w:rsidRPr="00413B54">
        <w:rPr>
          <w:rFonts w:ascii="Tenorite" w:hAnsi="Tenorite"/>
          <w:sz w:val="20"/>
          <w:szCs w:val="20"/>
        </w:rPr>
        <w:t>Products</w:t>
      </w:r>
      <w:proofErr w:type="spellEnd"/>
      <w:r w:rsidRPr="00413B54">
        <w:rPr>
          <w:rFonts w:ascii="Tenorite" w:hAnsi="Tenorite"/>
          <w:sz w:val="20"/>
          <w:szCs w:val="20"/>
        </w:rPr>
        <w:t xml:space="preserve"> conformément au règlement (UE) no 528/2012 du Parlement européen et du Conseil (JOUE 27/05/2025)</w:t>
      </w:r>
    </w:p>
    <w:p w14:paraId="1FA0D352" w14:textId="77777777" w:rsidR="00186CB2" w:rsidRPr="00413B54" w:rsidRDefault="00186CB2" w:rsidP="00186CB2">
      <w:pPr>
        <w:shd w:val="clear" w:color="auto" w:fill="FFFFFF"/>
        <w:spacing w:after="0" w:line="240" w:lineRule="auto"/>
        <w:ind w:left="142"/>
        <w:jc w:val="both"/>
        <w:rPr>
          <w:rFonts w:ascii="Tenorite" w:hAnsi="Tenorite"/>
          <w:sz w:val="20"/>
          <w:szCs w:val="20"/>
        </w:rPr>
      </w:pPr>
    </w:p>
    <w:p w14:paraId="05FB1877" w14:textId="77777777" w:rsidR="00186CB2" w:rsidRPr="00413B54" w:rsidRDefault="00186CB2" w:rsidP="00186CB2">
      <w:pPr>
        <w:shd w:val="clear" w:color="auto" w:fill="FFFFFF"/>
        <w:spacing w:after="0" w:line="240" w:lineRule="auto"/>
        <w:ind w:left="142"/>
        <w:jc w:val="both"/>
        <w:rPr>
          <w:rFonts w:ascii="Tenorite" w:hAnsi="Tenorite"/>
          <w:sz w:val="20"/>
          <w:szCs w:val="20"/>
        </w:rPr>
      </w:pPr>
      <w:hyperlink r:id="rId36"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2025/1043 de la Commission du 26 mai 2025 approuvant l’acide formique en tant que substance active existante destinée à être utilisée dans les produits biocides relevant du type de produits 6 conformément au règlement (UE) no 528/2012 du Parlement européen et du Conseil (JOUE 27/05/2025)</w:t>
      </w:r>
    </w:p>
    <w:p w14:paraId="431DB834" w14:textId="77777777" w:rsidR="002B7CB6" w:rsidRPr="005F3EA3" w:rsidRDefault="002B7CB6" w:rsidP="002B7CB6">
      <w:pPr>
        <w:spacing w:after="0" w:line="240" w:lineRule="auto"/>
        <w:ind w:left="284" w:hanging="142"/>
        <w:rPr>
          <w:rFonts w:ascii="Tenorite" w:eastAsia="MS Gothic" w:hAnsi="Tenorite" w:cs="Segoe UI Symbol"/>
          <w:b/>
          <w:sz w:val="28"/>
        </w:rPr>
      </w:pPr>
    </w:p>
    <w:p w14:paraId="6630880B" w14:textId="670186DB" w:rsidR="002B7CB6" w:rsidRPr="005F3EA3" w:rsidRDefault="00767DBA"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SUBSTANCES CHIMIQUES ET CONTAMINANTS</w:t>
      </w:r>
    </w:p>
    <w:p w14:paraId="75E61D11" w14:textId="77777777" w:rsidR="00767DBA" w:rsidRDefault="00767DBA" w:rsidP="002B7CB6">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Acrylamide</w:t>
      </w:r>
    </w:p>
    <w:p w14:paraId="078DE143" w14:textId="77777777" w:rsidR="00767DBA" w:rsidRDefault="00767DBA" w:rsidP="002B7CB6">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BPA</w:t>
      </w:r>
    </w:p>
    <w:p w14:paraId="200A0031" w14:textId="27F3F62C" w:rsidR="002B7CB6" w:rsidRPr="005F3EA3" w:rsidRDefault="002B7CB6" w:rsidP="002B7CB6">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Dioxine, PCB</w:t>
      </w:r>
    </w:p>
    <w:p w14:paraId="0DF8123B" w14:textId="77777777" w:rsidR="00767DBA" w:rsidRDefault="00767DBA" w:rsidP="002B7CB6">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Huiles minérales</w:t>
      </w:r>
    </w:p>
    <w:p w14:paraId="75D86915" w14:textId="18E9B9D4" w:rsidR="002B7CB6" w:rsidRPr="005F3EA3" w:rsidRDefault="002B7CB6" w:rsidP="002B7CB6">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Médicaments vétérinaires</w:t>
      </w:r>
    </w:p>
    <w:p w14:paraId="0A443900" w14:textId="77777777" w:rsidR="002B7CB6" w:rsidRPr="005F3EA3" w:rsidRDefault="002B7CB6" w:rsidP="002B7CB6">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Métaux lourds</w:t>
      </w:r>
    </w:p>
    <w:p w14:paraId="764B7DE7" w14:textId="77777777" w:rsidR="002B7CB6" w:rsidRPr="005F3EA3"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Mycotoxines</w:t>
      </w:r>
    </w:p>
    <w:p w14:paraId="71D5CD6D" w14:textId="77777777" w:rsidR="00767DBA" w:rsidRDefault="00767DBA" w:rsidP="002B7CB6">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 xml:space="preserve">Perturbateurs endocriniens </w:t>
      </w:r>
    </w:p>
    <w:p w14:paraId="4929FD01" w14:textId="0CD210A9"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Pesticides</w:t>
      </w:r>
    </w:p>
    <w:p w14:paraId="5484C10B" w14:textId="77777777" w:rsidR="00186CB2" w:rsidRPr="00413B54" w:rsidRDefault="00186CB2" w:rsidP="00186CB2">
      <w:pPr>
        <w:shd w:val="clear" w:color="auto" w:fill="FFFFFF"/>
        <w:spacing w:after="0" w:line="240" w:lineRule="auto"/>
        <w:ind w:left="142"/>
        <w:jc w:val="both"/>
        <w:rPr>
          <w:rFonts w:ascii="Tenorite" w:hAnsi="Tenorite"/>
          <w:sz w:val="20"/>
          <w:szCs w:val="20"/>
        </w:rPr>
      </w:pPr>
      <w:hyperlink r:id="rId37"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2025/854 de la Commission du 7 mai 2025 concernant un programme de contrôle, pluriannuel et coordonné, de l’Union pour 2026, 2027 et 2028 destiné à garantir le respect des limites maximales de résidus de pesticides dans et sur les denrées alimentaires d’origine végétale et animale et à évaluer l’exposition du consommateur à ces résidus, et abrogeant le règlement d’exécution (UE) 2024/989 (JOUE 07/05/2025)</w:t>
      </w:r>
    </w:p>
    <w:p w14:paraId="2FC60940" w14:textId="77777777" w:rsidR="00E3404E" w:rsidRDefault="00E3404E" w:rsidP="002B7CB6">
      <w:pPr>
        <w:spacing w:after="0" w:line="240" w:lineRule="auto"/>
        <w:ind w:left="284" w:hanging="142"/>
        <w:rPr>
          <w:rFonts w:ascii="Tenorite" w:hAnsi="Tenorite"/>
          <w:color w:val="C45911" w:themeColor="accent2" w:themeShade="BF"/>
          <w:sz w:val="20"/>
        </w:rPr>
      </w:pPr>
    </w:p>
    <w:p w14:paraId="7B15C6BD" w14:textId="6C846FE8" w:rsidR="00767DBA" w:rsidRPr="005F3EA3" w:rsidRDefault="00767DBA" w:rsidP="002B7CB6">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PFAS</w:t>
      </w:r>
    </w:p>
    <w:p w14:paraId="6ADBF364" w14:textId="77777777" w:rsidR="002B7CB6" w:rsidRPr="005F3EA3"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Radioactivité</w:t>
      </w:r>
    </w:p>
    <w:p w14:paraId="1012E99E" w14:textId="77777777" w:rsidR="005F3EA3" w:rsidRPr="005F3EA3" w:rsidRDefault="005F3EA3" w:rsidP="002B7CB6">
      <w:pPr>
        <w:spacing w:after="0" w:line="240" w:lineRule="auto"/>
        <w:ind w:left="284" w:hanging="142"/>
        <w:rPr>
          <w:rFonts w:ascii="Tenorite" w:eastAsia="MS Gothic" w:hAnsi="Tenorite" w:cs="Segoe UI Symbol"/>
          <w:b/>
          <w:sz w:val="28"/>
        </w:rPr>
      </w:pPr>
    </w:p>
    <w:p w14:paraId="2115C4F0" w14:textId="01B12948"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ETIQUETAGE </w:t>
      </w:r>
      <w:r w:rsidR="00767DBA">
        <w:rPr>
          <w:rFonts w:ascii="Tenorite" w:hAnsi="Tenorite"/>
          <w:b/>
          <w:color w:val="833C0B" w:themeColor="accent2" w:themeShade="80"/>
          <w:sz w:val="24"/>
        </w:rPr>
        <w:t>ET PRESENTATION DES PRODUITS</w:t>
      </w:r>
    </w:p>
    <w:p w14:paraId="13F8048B" w14:textId="77777777" w:rsidR="00767DBA" w:rsidRDefault="00767DBA" w:rsidP="002F17D1">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Environnemental</w:t>
      </w:r>
    </w:p>
    <w:p w14:paraId="5B30DC1D" w14:textId="77305349" w:rsidR="002F17D1" w:rsidRPr="005F3EA3" w:rsidRDefault="002B7CB6" w:rsidP="002F17D1">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Général</w:t>
      </w:r>
    </w:p>
    <w:p w14:paraId="7C7935D3" w14:textId="77777777" w:rsidR="002B7CB6" w:rsidRDefault="002B7CB6" w:rsidP="002F17D1">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Nutritionnel</w:t>
      </w:r>
    </w:p>
    <w:p w14:paraId="5112D211" w14:textId="77777777" w:rsidR="002F17D1" w:rsidRPr="005F3EA3" w:rsidRDefault="002F17D1" w:rsidP="002F17D1">
      <w:pPr>
        <w:spacing w:after="0" w:line="240" w:lineRule="auto"/>
        <w:ind w:left="142"/>
        <w:rPr>
          <w:rFonts w:ascii="Tenorite" w:hAnsi="Tenorite"/>
          <w:color w:val="C45911" w:themeColor="accent2" w:themeShade="BF"/>
          <w:sz w:val="20"/>
        </w:rPr>
      </w:pPr>
    </w:p>
    <w:p w14:paraId="5A11BE1A"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HYGIENE ET SECURITE DES ALIMENTS </w:t>
      </w:r>
    </w:p>
    <w:p w14:paraId="75B6C2CF" w14:textId="77777777" w:rsidR="002F17D1"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Agrément sanitaire</w:t>
      </w:r>
    </w:p>
    <w:p w14:paraId="22B99406" w14:textId="77777777" w:rsidR="00767DBA" w:rsidRDefault="00767DBA"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Allergènes</w:t>
      </w:r>
    </w:p>
    <w:p w14:paraId="7F5C7775" w14:textId="4FEBC38B" w:rsidR="002F17D1"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Bulletins épidémiologiques</w:t>
      </w:r>
    </w:p>
    <w:p w14:paraId="20FD2503" w14:textId="58D3C79D" w:rsidR="00D160F0" w:rsidRDefault="00D160F0" w:rsidP="001B42BB">
      <w:pPr>
        <w:spacing w:after="0" w:line="240" w:lineRule="auto"/>
        <w:ind w:left="284" w:hanging="142"/>
        <w:rPr>
          <w:rFonts w:ascii="Tenorite" w:hAnsi="Tenorite"/>
          <w:color w:val="C45911" w:themeColor="accent2" w:themeShade="BF"/>
          <w:sz w:val="20"/>
        </w:rPr>
      </w:pPr>
    </w:p>
    <w:p w14:paraId="5C4E0C63" w14:textId="41778384" w:rsidR="00767DBA" w:rsidRDefault="00767DBA" w:rsidP="001B42BB">
      <w:pPr>
        <w:spacing w:after="0" w:line="240" w:lineRule="auto"/>
        <w:ind w:left="284" w:hanging="142"/>
        <w:rPr>
          <w:rFonts w:ascii="Tenorite" w:hAnsi="Tenorite"/>
          <w:color w:val="C45911" w:themeColor="accent2" w:themeShade="BF"/>
          <w:sz w:val="20"/>
        </w:rPr>
      </w:pPr>
      <w:proofErr w:type="spellStart"/>
      <w:r>
        <w:rPr>
          <w:rFonts w:ascii="Tenorite" w:hAnsi="Tenorite"/>
          <w:color w:val="C45911" w:themeColor="accent2" w:themeShade="BF"/>
          <w:sz w:val="20"/>
        </w:rPr>
        <w:t>BuSCA</w:t>
      </w:r>
      <w:proofErr w:type="spellEnd"/>
    </w:p>
    <w:p w14:paraId="4E0C8A57" w14:textId="77777777" w:rsidR="00186CB2" w:rsidRPr="00413B54" w:rsidRDefault="00186CB2" w:rsidP="00186CB2">
      <w:pPr>
        <w:adjustRightInd w:val="0"/>
        <w:spacing w:after="0" w:line="240" w:lineRule="auto"/>
        <w:ind w:left="142"/>
        <w:jc w:val="both"/>
        <w:rPr>
          <w:rFonts w:ascii="Tenorite" w:hAnsi="Tenorite"/>
          <w:sz w:val="20"/>
          <w:szCs w:val="20"/>
        </w:rPr>
      </w:pPr>
      <w:hyperlink r:id="rId38" w:history="1">
        <w:proofErr w:type="spellStart"/>
        <w:r w:rsidRPr="00413B54">
          <w:rPr>
            <w:rStyle w:val="Lienhypertexte"/>
            <w:rFonts w:ascii="Tenorite" w:hAnsi="Tenorite"/>
            <w:sz w:val="20"/>
            <w:szCs w:val="20"/>
          </w:rPr>
          <w:t>BuSCA</w:t>
        </w:r>
        <w:proofErr w:type="spellEnd"/>
        <w:r w:rsidRPr="00413B54">
          <w:rPr>
            <w:rStyle w:val="Lienhypertexte"/>
            <w:rFonts w:ascii="Tenorite" w:hAnsi="Tenorite"/>
            <w:sz w:val="20"/>
            <w:szCs w:val="20"/>
          </w:rPr>
          <w:t xml:space="preserve"> n°132</w:t>
        </w:r>
      </w:hyperlink>
      <w:r w:rsidRPr="00413B54">
        <w:rPr>
          <w:rFonts w:ascii="Tenorite" w:hAnsi="Tenorite"/>
          <w:sz w:val="20"/>
          <w:szCs w:val="20"/>
        </w:rPr>
        <w:t>– 5 mai 2025, Plateforme de surveillance de la chaîne alimentaire</w:t>
      </w:r>
    </w:p>
    <w:p w14:paraId="522415A1" w14:textId="77777777" w:rsidR="00186CB2" w:rsidRPr="00413B54" w:rsidRDefault="00186CB2" w:rsidP="00186CB2">
      <w:pPr>
        <w:adjustRightInd w:val="0"/>
        <w:spacing w:after="0" w:line="240" w:lineRule="auto"/>
        <w:ind w:left="142"/>
        <w:jc w:val="both"/>
        <w:rPr>
          <w:rFonts w:ascii="Tenorite" w:hAnsi="Tenorite"/>
          <w:sz w:val="20"/>
          <w:szCs w:val="20"/>
        </w:rPr>
      </w:pPr>
      <w:hyperlink r:id="rId39" w:history="1">
        <w:proofErr w:type="spellStart"/>
        <w:r w:rsidRPr="00413B54">
          <w:rPr>
            <w:rStyle w:val="Lienhypertexte"/>
            <w:rFonts w:ascii="Tenorite" w:hAnsi="Tenorite"/>
            <w:sz w:val="20"/>
            <w:szCs w:val="20"/>
          </w:rPr>
          <w:t>BuSCA</w:t>
        </w:r>
        <w:proofErr w:type="spellEnd"/>
        <w:r w:rsidRPr="00413B54">
          <w:rPr>
            <w:rStyle w:val="Lienhypertexte"/>
            <w:rFonts w:ascii="Tenorite" w:hAnsi="Tenorite"/>
            <w:sz w:val="20"/>
            <w:szCs w:val="20"/>
          </w:rPr>
          <w:t xml:space="preserve"> n°133</w:t>
        </w:r>
      </w:hyperlink>
      <w:r w:rsidRPr="00413B54">
        <w:rPr>
          <w:rFonts w:ascii="Tenorite" w:hAnsi="Tenorite"/>
          <w:sz w:val="20"/>
          <w:szCs w:val="20"/>
        </w:rPr>
        <w:t>– 15 mai 2025, Plateforme de surveillance de la chaîne alimentaire</w:t>
      </w:r>
    </w:p>
    <w:p w14:paraId="4D5E9C27" w14:textId="77777777" w:rsidR="00186CB2" w:rsidRDefault="00186CB2" w:rsidP="00186CB2">
      <w:pPr>
        <w:adjustRightInd w:val="0"/>
        <w:ind w:left="142"/>
        <w:jc w:val="both"/>
        <w:rPr>
          <w:rFonts w:ascii="Tenorite" w:hAnsi="Tenorite"/>
          <w:sz w:val="20"/>
          <w:szCs w:val="20"/>
        </w:rPr>
      </w:pPr>
      <w:hyperlink r:id="rId40" w:history="1">
        <w:proofErr w:type="spellStart"/>
        <w:r w:rsidRPr="00413B54">
          <w:rPr>
            <w:rStyle w:val="Lienhypertexte"/>
            <w:rFonts w:ascii="Tenorite" w:hAnsi="Tenorite"/>
            <w:sz w:val="20"/>
            <w:szCs w:val="20"/>
          </w:rPr>
          <w:t>BuSCA</w:t>
        </w:r>
        <w:proofErr w:type="spellEnd"/>
        <w:r w:rsidRPr="00413B54">
          <w:rPr>
            <w:rStyle w:val="Lienhypertexte"/>
            <w:rFonts w:ascii="Tenorite" w:hAnsi="Tenorite"/>
            <w:sz w:val="20"/>
            <w:szCs w:val="20"/>
          </w:rPr>
          <w:t xml:space="preserve"> n°134</w:t>
        </w:r>
      </w:hyperlink>
      <w:r w:rsidRPr="00413B54">
        <w:rPr>
          <w:rFonts w:ascii="Tenorite" w:hAnsi="Tenorite"/>
          <w:sz w:val="20"/>
          <w:szCs w:val="20"/>
        </w:rPr>
        <w:t>- 28 mai 2025, Plateforme de surveillance de la chaîne alimentaire</w:t>
      </w:r>
    </w:p>
    <w:p w14:paraId="2F460B9B" w14:textId="77777777" w:rsidR="00186CB2" w:rsidRPr="00413B54" w:rsidRDefault="00186CB2" w:rsidP="00186CB2">
      <w:pPr>
        <w:adjustRightInd w:val="0"/>
        <w:spacing w:after="0" w:line="240" w:lineRule="auto"/>
        <w:ind w:left="142"/>
        <w:jc w:val="both"/>
        <w:rPr>
          <w:rFonts w:ascii="Tenorite" w:eastAsia="SimSun" w:hAnsi="Tenorite" w:cs="SimianText-Orangutan"/>
          <w:color w:val="5D5541"/>
          <w:sz w:val="20"/>
          <w:szCs w:val="20"/>
          <w:lang w:eastAsia="zh-CN"/>
        </w:rPr>
      </w:pPr>
      <w:hyperlink r:id="rId41" w:history="1">
        <w:r w:rsidRPr="00413B54">
          <w:rPr>
            <w:rStyle w:val="Lienhypertexte"/>
            <w:rFonts w:ascii="Tenorite" w:eastAsia="SimSun" w:hAnsi="Tenorite" w:cs="SimianText-Orangutan"/>
            <w:sz w:val="20"/>
            <w:szCs w:val="20"/>
            <w:lang w:eastAsia="zh-CN"/>
          </w:rPr>
          <w:t>Bulletin des vigilances</w:t>
        </w:r>
      </w:hyperlink>
      <w:r w:rsidRPr="00413B54">
        <w:rPr>
          <w:rFonts w:ascii="Tenorite" w:eastAsia="SimSun" w:hAnsi="Tenorite" w:cs="SimianText-Orangutan"/>
          <w:color w:val="5D5541"/>
          <w:sz w:val="20"/>
          <w:szCs w:val="20"/>
          <w:lang w:eastAsia="zh-CN"/>
        </w:rPr>
        <w:t>, numéro 25, Mai 2025</w:t>
      </w:r>
    </w:p>
    <w:p w14:paraId="697B039A" w14:textId="77777777" w:rsidR="00186CB2" w:rsidRDefault="00186CB2" w:rsidP="00186CB2">
      <w:pPr>
        <w:adjustRightInd w:val="0"/>
        <w:ind w:left="142"/>
        <w:jc w:val="both"/>
        <w:rPr>
          <w:rFonts w:ascii="Tenorite" w:hAnsi="Tenorite"/>
          <w:sz w:val="20"/>
          <w:szCs w:val="20"/>
        </w:rPr>
      </w:pPr>
    </w:p>
    <w:p w14:paraId="6B945F17" w14:textId="4CEAFF52" w:rsidR="00767DBA" w:rsidRDefault="00767DBA"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lastRenderedPageBreak/>
        <w:t>Contrôles officiels</w:t>
      </w:r>
    </w:p>
    <w:p w14:paraId="195FB1E0" w14:textId="2775C1B1" w:rsidR="001B42BB" w:rsidRPr="005F3EA3" w:rsidRDefault="002B7CB6" w:rsidP="00D160F0">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Dangers biologiques /microbiologiques</w:t>
      </w:r>
    </w:p>
    <w:p w14:paraId="375FD0C8" w14:textId="77777777" w:rsidR="00D160F0" w:rsidRPr="00B659D9" w:rsidRDefault="00D160F0" w:rsidP="00D160F0">
      <w:pPr>
        <w:shd w:val="clear" w:color="auto" w:fill="FFFFFF"/>
        <w:spacing w:after="0" w:line="240" w:lineRule="auto"/>
        <w:ind w:left="142"/>
        <w:jc w:val="both"/>
        <w:rPr>
          <w:rFonts w:ascii="Tenorite" w:eastAsia="Times New Roman" w:hAnsi="Tenorite" w:cs="Times New Roman"/>
          <w:b/>
          <w:bCs/>
          <w:color w:val="636363"/>
          <w:sz w:val="20"/>
          <w:szCs w:val="20"/>
          <w:lang w:eastAsia="fr-FR"/>
        </w:rPr>
      </w:pPr>
    </w:p>
    <w:p w14:paraId="6FBE7995" w14:textId="77777777" w:rsidR="00767DBA" w:rsidRDefault="00767DBA"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Entreposage</w:t>
      </w:r>
    </w:p>
    <w:p w14:paraId="7D1944E0" w14:textId="2C4BB729" w:rsidR="001B42BB"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Fraudes (non exhaustif)</w:t>
      </w:r>
    </w:p>
    <w:p w14:paraId="42680E80" w14:textId="77777777" w:rsidR="00186CB2" w:rsidRPr="00413B54" w:rsidRDefault="00186CB2" w:rsidP="00186CB2">
      <w:pPr>
        <w:adjustRightInd w:val="0"/>
        <w:spacing w:after="0" w:line="240" w:lineRule="auto"/>
        <w:ind w:left="142"/>
        <w:jc w:val="both"/>
        <w:rPr>
          <w:rFonts w:ascii="Tenorite" w:hAnsi="Tenorite"/>
          <w:sz w:val="20"/>
          <w:szCs w:val="20"/>
        </w:rPr>
      </w:pPr>
      <w:r w:rsidRPr="00413B54">
        <w:rPr>
          <w:rFonts w:ascii="Tenorite" w:hAnsi="Tenorite"/>
          <w:sz w:val="20"/>
          <w:szCs w:val="20"/>
        </w:rPr>
        <w:t xml:space="preserve">Newsletter </w:t>
      </w:r>
      <w:hyperlink r:id="rId42" w:history="1">
        <w:r w:rsidRPr="00413B54">
          <w:rPr>
            <w:rStyle w:val="Lienhypertexte"/>
            <w:rFonts w:ascii="Tenorite" w:hAnsi="Tenorite"/>
            <w:sz w:val="20"/>
            <w:szCs w:val="20"/>
          </w:rPr>
          <w:t>Mars 2025</w:t>
        </w:r>
      </w:hyperlink>
      <w:r w:rsidRPr="00413B54">
        <w:rPr>
          <w:rFonts w:ascii="Tenorite" w:hAnsi="Tenorite"/>
          <w:sz w:val="20"/>
          <w:szCs w:val="20"/>
        </w:rPr>
        <w:t>, Fraudes alimentaires, Commission européenne</w:t>
      </w:r>
    </w:p>
    <w:p w14:paraId="2D0114E6" w14:textId="77777777" w:rsidR="00186CB2" w:rsidRPr="00413B54" w:rsidRDefault="00186CB2" w:rsidP="00186CB2">
      <w:pPr>
        <w:adjustRightInd w:val="0"/>
        <w:spacing w:after="0" w:line="240" w:lineRule="auto"/>
        <w:ind w:left="142"/>
        <w:jc w:val="both"/>
        <w:rPr>
          <w:rFonts w:ascii="Tenorite" w:hAnsi="Tenorite"/>
          <w:sz w:val="20"/>
          <w:szCs w:val="20"/>
        </w:rPr>
      </w:pPr>
      <w:r w:rsidRPr="00413B54">
        <w:rPr>
          <w:rFonts w:ascii="Tenorite" w:hAnsi="Tenorite"/>
          <w:sz w:val="20"/>
          <w:szCs w:val="20"/>
        </w:rPr>
        <w:t xml:space="preserve">Newsletter </w:t>
      </w:r>
      <w:hyperlink r:id="rId43" w:history="1">
        <w:proofErr w:type="gramStart"/>
        <w:r w:rsidRPr="00413B54">
          <w:rPr>
            <w:rStyle w:val="Lienhypertexte"/>
            <w:rFonts w:ascii="Tenorite" w:hAnsi="Tenorite"/>
            <w:sz w:val="20"/>
            <w:szCs w:val="20"/>
          </w:rPr>
          <w:t>Avril</w:t>
        </w:r>
        <w:proofErr w:type="gramEnd"/>
        <w:r w:rsidRPr="00413B54">
          <w:rPr>
            <w:rStyle w:val="Lienhypertexte"/>
            <w:rFonts w:ascii="Tenorite" w:hAnsi="Tenorite"/>
            <w:sz w:val="20"/>
            <w:szCs w:val="20"/>
          </w:rPr>
          <w:t xml:space="preserve"> 2025</w:t>
        </w:r>
      </w:hyperlink>
      <w:r w:rsidRPr="00413B54">
        <w:rPr>
          <w:rFonts w:ascii="Tenorite" w:hAnsi="Tenorite"/>
          <w:sz w:val="20"/>
          <w:szCs w:val="20"/>
        </w:rPr>
        <w:t>, Fraudes alimentaires, Commission européenne</w:t>
      </w:r>
    </w:p>
    <w:p w14:paraId="247F4ADF" w14:textId="77777777" w:rsidR="00186CB2" w:rsidRPr="005F3EA3" w:rsidRDefault="00186CB2" w:rsidP="001B42BB">
      <w:pPr>
        <w:spacing w:after="0" w:line="240" w:lineRule="auto"/>
        <w:ind w:left="284" w:hanging="142"/>
        <w:rPr>
          <w:rFonts w:ascii="Tenorite" w:hAnsi="Tenorite"/>
          <w:color w:val="C45911" w:themeColor="accent2" w:themeShade="BF"/>
          <w:sz w:val="20"/>
        </w:rPr>
      </w:pPr>
    </w:p>
    <w:p w14:paraId="4D744FC4" w14:textId="19A25B68" w:rsidR="001B42BB"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Hygiène et GBPH</w:t>
      </w:r>
    </w:p>
    <w:p w14:paraId="0224FEEE" w14:textId="54F919B3" w:rsidR="002B7CB6"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Transport</w:t>
      </w:r>
      <w:r w:rsidRPr="005F3EA3">
        <w:rPr>
          <w:rFonts w:ascii="Tenorite" w:hAnsi="Tenorite"/>
          <w:color w:val="C45911" w:themeColor="accent2" w:themeShade="BF"/>
          <w:sz w:val="20"/>
        </w:rPr>
        <w:tab/>
      </w:r>
    </w:p>
    <w:p w14:paraId="60549313" w14:textId="77777777" w:rsidR="001B42BB" w:rsidRPr="005F3EA3" w:rsidRDefault="001B42BB" w:rsidP="001B42BB">
      <w:pPr>
        <w:spacing w:after="0" w:line="240" w:lineRule="auto"/>
        <w:ind w:left="284" w:hanging="142"/>
        <w:rPr>
          <w:rFonts w:ascii="Tenorite" w:hAnsi="Tenorite"/>
          <w:color w:val="C45911" w:themeColor="accent2" w:themeShade="BF"/>
          <w:sz w:val="20"/>
        </w:rPr>
      </w:pPr>
    </w:p>
    <w:p w14:paraId="5417E9F6" w14:textId="6E2A768A"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MARCHES (importation, modalités de commercialisation</w:t>
      </w:r>
      <w:r w:rsidR="00767DBA">
        <w:rPr>
          <w:rFonts w:ascii="Tenorite" w:hAnsi="Tenorite"/>
          <w:b/>
          <w:color w:val="833C0B" w:themeColor="accent2" w:themeShade="80"/>
          <w:sz w:val="24"/>
        </w:rPr>
        <w:t>, exportation</w:t>
      </w:r>
      <w:r w:rsidRPr="005F3EA3">
        <w:rPr>
          <w:rFonts w:ascii="Tenorite" w:hAnsi="Tenorite"/>
          <w:b/>
          <w:color w:val="833C0B" w:themeColor="accent2" w:themeShade="80"/>
          <w:sz w:val="24"/>
        </w:rPr>
        <w:t>)</w:t>
      </w:r>
    </w:p>
    <w:p w14:paraId="440D7C32" w14:textId="77777777" w:rsidR="00767DBA" w:rsidRDefault="00767DBA"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Exportation</w:t>
      </w:r>
    </w:p>
    <w:p w14:paraId="5ABC6969" w14:textId="71D96304" w:rsidR="00767DBA" w:rsidRDefault="00767DBA"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Importation</w:t>
      </w:r>
    </w:p>
    <w:p w14:paraId="4CD26EB3" w14:textId="77777777" w:rsidR="00186CB2" w:rsidRPr="004D1F90" w:rsidRDefault="00186CB2" w:rsidP="00186CB2">
      <w:pPr>
        <w:shd w:val="clear" w:color="auto" w:fill="FFFFFF"/>
        <w:spacing w:after="0" w:line="240" w:lineRule="auto"/>
        <w:ind w:left="142"/>
        <w:jc w:val="both"/>
        <w:rPr>
          <w:rFonts w:ascii="Tenorite" w:eastAsia="Times New Roman" w:hAnsi="Tenorite" w:cs="Times New Roman"/>
          <w:sz w:val="20"/>
          <w:szCs w:val="20"/>
          <w:lang w:eastAsia="fr-FR"/>
        </w:rPr>
      </w:pPr>
      <w:r w:rsidRPr="004D1F90">
        <w:rPr>
          <w:rFonts w:ascii="Tenorite" w:eastAsia="Times New Roman" w:hAnsi="Tenorite" w:cs="Times New Roman"/>
          <w:b/>
          <w:bCs/>
          <w:sz w:val="20"/>
          <w:szCs w:val="20"/>
          <w:lang w:eastAsia="fr-FR"/>
        </w:rPr>
        <w:t>Instruction technique </w:t>
      </w:r>
      <w:hyperlink r:id="rId44" w:history="1">
        <w:r w:rsidRPr="004D1F90">
          <w:rPr>
            <w:rFonts w:ascii="Tenorite" w:eastAsia="Times New Roman" w:hAnsi="Tenorite" w:cs="Times New Roman"/>
            <w:sz w:val="20"/>
            <w:szCs w:val="20"/>
            <w:u w:val="single"/>
            <w:lang w:eastAsia="fr-FR"/>
          </w:rPr>
          <w:t>DGAL/SDEIGIR/2025-276</w:t>
        </w:r>
      </w:hyperlink>
      <w:r w:rsidRPr="004D1F90">
        <w:rPr>
          <w:rFonts w:ascii="Tenorite" w:eastAsia="Times New Roman" w:hAnsi="Tenorite" w:cs="Times New Roman"/>
          <w:sz w:val="20"/>
          <w:szCs w:val="20"/>
          <w:lang w:eastAsia="fr-FR"/>
        </w:rPr>
        <w:t> du 02-05-Validation des opérateurs dans le système TRACES-NT pour le domaine de l’importation (DGAL)</w:t>
      </w:r>
    </w:p>
    <w:p w14:paraId="54C7FDDF" w14:textId="77777777" w:rsidR="00186CB2" w:rsidRPr="004D1F90" w:rsidRDefault="00186CB2" w:rsidP="00186CB2">
      <w:pPr>
        <w:shd w:val="clear" w:color="auto" w:fill="FFFFFF"/>
        <w:spacing w:after="0" w:line="240" w:lineRule="auto"/>
        <w:ind w:left="142"/>
        <w:jc w:val="both"/>
        <w:rPr>
          <w:rFonts w:ascii="Tenorite" w:hAnsi="Tenorite"/>
          <w:sz w:val="20"/>
          <w:szCs w:val="20"/>
        </w:rPr>
      </w:pPr>
    </w:p>
    <w:bookmarkStart w:id="0" w:name="_Hlk200901272"/>
    <w:p w14:paraId="6083C183" w14:textId="77777777" w:rsidR="00186CB2" w:rsidRPr="004D1F90" w:rsidRDefault="00186CB2" w:rsidP="00186CB2">
      <w:pPr>
        <w:shd w:val="clear" w:color="auto" w:fill="FFFFFF"/>
        <w:spacing w:after="0" w:line="240" w:lineRule="auto"/>
        <w:ind w:left="142"/>
        <w:jc w:val="both"/>
        <w:rPr>
          <w:rFonts w:ascii="Tenorite" w:eastAsia="Times New Roman" w:hAnsi="Tenorite" w:cs="Times New Roman"/>
          <w:sz w:val="20"/>
          <w:szCs w:val="20"/>
          <w:lang w:eastAsia="fr-FR"/>
        </w:rPr>
      </w:pPr>
      <w:r w:rsidRPr="004D1F90">
        <w:rPr>
          <w:rFonts w:ascii="Tenorite" w:hAnsi="Tenorite"/>
          <w:sz w:val="20"/>
          <w:szCs w:val="20"/>
        </w:rPr>
        <w:fldChar w:fldCharType="begin"/>
      </w:r>
      <w:r w:rsidRPr="004D1F90">
        <w:rPr>
          <w:rFonts w:ascii="Tenorite" w:hAnsi="Tenorite"/>
          <w:sz w:val="20"/>
          <w:szCs w:val="20"/>
        </w:rPr>
        <w:instrText>HYPERLINK "https://eur-lex.europa.eu/legal-content/FR/TXT/PDF/?uri=OJ:L_202501093"</w:instrText>
      </w:r>
      <w:r w:rsidRPr="004D1F90">
        <w:rPr>
          <w:rFonts w:ascii="Tenorite" w:hAnsi="Tenorite"/>
          <w:sz w:val="20"/>
          <w:szCs w:val="20"/>
        </w:rPr>
      </w:r>
      <w:r w:rsidRPr="004D1F90">
        <w:rPr>
          <w:rFonts w:ascii="Tenorite" w:hAnsi="Tenorite"/>
          <w:sz w:val="20"/>
          <w:szCs w:val="20"/>
        </w:rPr>
        <w:fldChar w:fldCharType="separate"/>
      </w:r>
      <w:r w:rsidRPr="004D1F90">
        <w:rPr>
          <w:rStyle w:val="Lienhypertexte"/>
          <w:rFonts w:ascii="Tenorite" w:eastAsia="Times New Roman" w:hAnsi="Tenorite" w:cs="Times New Roman"/>
          <w:color w:val="auto"/>
          <w:sz w:val="20"/>
          <w:szCs w:val="20"/>
          <w:lang w:eastAsia="fr-FR"/>
        </w:rPr>
        <w:t>Règlement</w:t>
      </w:r>
      <w:r w:rsidRPr="004D1F90">
        <w:rPr>
          <w:rFonts w:ascii="Tenorite" w:hAnsi="Tenorite"/>
          <w:sz w:val="20"/>
          <w:szCs w:val="20"/>
        </w:rPr>
        <w:fldChar w:fldCharType="end"/>
      </w:r>
      <w:r w:rsidRPr="004D1F90">
        <w:rPr>
          <w:rFonts w:ascii="Tenorite" w:eastAsia="Times New Roman" w:hAnsi="Tenorite" w:cs="Times New Roman"/>
          <w:sz w:val="20"/>
          <w:szCs w:val="20"/>
          <w:lang w:eastAsia="fr-FR"/>
        </w:rPr>
        <w:t xml:space="preserve"> d’exécution (UE) 2025/1093 de la Commission du 22 mai 2025 portant modalités d’application du règlement (UE) 2023/1115 du Parlement européen et du Conseil en ce qui concerne une liste des pays qui présentent un risque faible ou un risque élevé de production de produits de base en cause pour lesquels les produits en cause ne sont pas conformes à l’article 3, point a) [Déforestation] (JOUE 23/05/2025)</w:t>
      </w:r>
    </w:p>
    <w:bookmarkEnd w:id="0"/>
    <w:p w14:paraId="32E88AE6" w14:textId="77777777" w:rsidR="00D160F0" w:rsidRDefault="00D160F0" w:rsidP="00767DBA">
      <w:pPr>
        <w:spacing w:after="0" w:line="240" w:lineRule="auto"/>
        <w:ind w:left="284" w:hanging="142"/>
        <w:rPr>
          <w:rFonts w:ascii="Tenorite" w:hAnsi="Tenorite"/>
          <w:color w:val="C45911" w:themeColor="accent2" w:themeShade="BF"/>
          <w:sz w:val="20"/>
        </w:rPr>
      </w:pPr>
    </w:p>
    <w:p w14:paraId="63DF5A7E" w14:textId="495779E1"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MATERIAUX </w:t>
      </w:r>
      <w:r w:rsidR="00767DBA">
        <w:rPr>
          <w:rFonts w:ascii="Tenorite" w:hAnsi="Tenorite"/>
          <w:b/>
          <w:color w:val="833C0B" w:themeColor="accent2" w:themeShade="80"/>
          <w:sz w:val="24"/>
        </w:rPr>
        <w:t xml:space="preserve">ET OBJETS </w:t>
      </w:r>
      <w:r w:rsidRPr="005F3EA3">
        <w:rPr>
          <w:rFonts w:ascii="Tenorite" w:hAnsi="Tenorite"/>
          <w:b/>
          <w:color w:val="833C0B" w:themeColor="accent2" w:themeShade="80"/>
          <w:sz w:val="24"/>
        </w:rPr>
        <w:t>AU CONTACT</w:t>
      </w:r>
    </w:p>
    <w:p w14:paraId="0A9F6E37" w14:textId="1E25715F" w:rsidR="002B7CB6" w:rsidRDefault="00D160F0" w:rsidP="002B7CB6">
      <w:pPr>
        <w:spacing w:line="240" w:lineRule="auto"/>
        <w:ind w:left="284" w:hanging="142"/>
        <w:rPr>
          <w:rFonts w:ascii="Tenorite" w:hAnsi="Tenorite"/>
          <w:b/>
        </w:rPr>
      </w:pPr>
      <w:r>
        <w:rPr>
          <w:rFonts w:ascii="Tenorite" w:hAnsi="Tenorite"/>
          <w:b/>
        </w:rPr>
        <w:t>/</w:t>
      </w:r>
    </w:p>
    <w:p w14:paraId="6A58FF82" w14:textId="03C8B2D3"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CONDITIONNEMENT - EMBALLAGE</w:t>
      </w:r>
    </w:p>
    <w:p w14:paraId="1FAA7BB8" w14:textId="1D7B1EDC" w:rsidR="00767DBA" w:rsidRPr="005F3EA3" w:rsidRDefault="00D160F0" w:rsidP="002B7CB6">
      <w:pPr>
        <w:spacing w:line="240" w:lineRule="auto"/>
        <w:ind w:left="284" w:hanging="142"/>
        <w:rPr>
          <w:rFonts w:ascii="Tenorite" w:hAnsi="Tenorite"/>
          <w:b/>
        </w:rPr>
      </w:pPr>
      <w:r>
        <w:rPr>
          <w:rFonts w:ascii="Tenorite" w:hAnsi="Tenorite"/>
          <w:b/>
        </w:rPr>
        <w:t>/</w:t>
      </w:r>
    </w:p>
    <w:p w14:paraId="2153F0AD"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METROLOGIE</w:t>
      </w:r>
    </w:p>
    <w:p w14:paraId="2C44D545" w14:textId="175B8D21" w:rsidR="001B42BB" w:rsidRDefault="00D160F0" w:rsidP="002B7CB6">
      <w:pPr>
        <w:spacing w:line="240" w:lineRule="auto"/>
        <w:ind w:left="284" w:hanging="142"/>
        <w:rPr>
          <w:rFonts w:ascii="Tenorite" w:hAnsi="Tenorite"/>
          <w:b/>
        </w:rPr>
      </w:pPr>
      <w:r>
        <w:rPr>
          <w:rFonts w:ascii="Tenorite" w:hAnsi="Tenorite"/>
          <w:b/>
        </w:rPr>
        <w:t>/</w:t>
      </w:r>
    </w:p>
    <w:p w14:paraId="254D792C" w14:textId="45699711"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NUTRITION – ALIMENTATION PARTICULIERE</w:t>
      </w:r>
    </w:p>
    <w:p w14:paraId="55728462" w14:textId="327E7031" w:rsidR="00767DBA" w:rsidRPr="005F3EA3" w:rsidRDefault="00D160F0" w:rsidP="002B7CB6">
      <w:pPr>
        <w:spacing w:line="240" w:lineRule="auto"/>
        <w:ind w:left="284" w:hanging="142"/>
        <w:rPr>
          <w:rFonts w:ascii="Tenorite" w:hAnsi="Tenorite"/>
          <w:b/>
        </w:rPr>
      </w:pPr>
      <w:r>
        <w:rPr>
          <w:rFonts w:ascii="Tenorite" w:hAnsi="Tenorite"/>
          <w:b/>
        </w:rPr>
        <w:t>/</w:t>
      </w:r>
    </w:p>
    <w:p w14:paraId="67B68949"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OGM</w:t>
      </w:r>
    </w:p>
    <w:p w14:paraId="60BDB1D3" w14:textId="72463656" w:rsidR="001B42BB" w:rsidRDefault="004D1F90" w:rsidP="002B7CB6">
      <w:pPr>
        <w:spacing w:after="0" w:line="240" w:lineRule="auto"/>
        <w:ind w:left="284" w:hanging="142"/>
        <w:rPr>
          <w:rFonts w:ascii="Tenorite" w:hAnsi="Tenorite"/>
          <w:b/>
        </w:rPr>
      </w:pPr>
      <w:r>
        <w:rPr>
          <w:rFonts w:ascii="Tenorite" w:hAnsi="Tenorite"/>
          <w:b/>
        </w:rPr>
        <w:t>/</w:t>
      </w:r>
    </w:p>
    <w:p w14:paraId="33A909CC" w14:textId="77777777" w:rsidR="004D1F90" w:rsidRDefault="004D1F90" w:rsidP="002B7CB6">
      <w:pPr>
        <w:spacing w:after="0" w:line="240" w:lineRule="auto"/>
        <w:ind w:left="284" w:hanging="142"/>
        <w:rPr>
          <w:rFonts w:ascii="Tenorite" w:hAnsi="Tenorite"/>
          <w:b/>
        </w:rPr>
      </w:pPr>
    </w:p>
    <w:p w14:paraId="7ED164F6" w14:textId="77777777" w:rsidR="004D1F90" w:rsidRDefault="004D1F90" w:rsidP="002B7CB6">
      <w:pPr>
        <w:spacing w:after="0" w:line="240" w:lineRule="auto"/>
        <w:ind w:left="284" w:hanging="142"/>
        <w:rPr>
          <w:rFonts w:ascii="Tenorite" w:hAnsi="Tenorite"/>
          <w:b/>
        </w:rPr>
      </w:pPr>
    </w:p>
    <w:p w14:paraId="295D735F" w14:textId="77777777" w:rsidR="004D1F90" w:rsidRPr="005F3EA3" w:rsidRDefault="004D1F90" w:rsidP="002B7CB6">
      <w:pPr>
        <w:spacing w:after="0" w:line="240" w:lineRule="auto"/>
        <w:ind w:left="284" w:hanging="142"/>
        <w:rPr>
          <w:rFonts w:ascii="Tenorite" w:hAnsi="Tenorite"/>
          <w:b/>
        </w:rPr>
      </w:pPr>
    </w:p>
    <w:p w14:paraId="685BD29A" w14:textId="48D81777" w:rsidR="002B7CB6" w:rsidRPr="005F3EA3" w:rsidRDefault="00767DBA"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 xml:space="preserve">PRODUITS BIOLOGIQUES </w:t>
      </w:r>
    </w:p>
    <w:p w14:paraId="18AEC530" w14:textId="77777777" w:rsidR="004D1F90" w:rsidRPr="00413B54" w:rsidRDefault="004D1F90" w:rsidP="004D1F90">
      <w:pPr>
        <w:shd w:val="clear" w:color="auto" w:fill="FFFFFF"/>
        <w:spacing w:after="0" w:line="240" w:lineRule="auto"/>
        <w:ind w:left="142"/>
        <w:jc w:val="both"/>
        <w:rPr>
          <w:rFonts w:ascii="Tenorite" w:hAnsi="Tenorite"/>
          <w:sz w:val="20"/>
          <w:szCs w:val="20"/>
        </w:rPr>
      </w:pPr>
      <w:hyperlink r:id="rId45"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2025/882 de la Commission du 14 mai 2025 modifiant le règlement d’exécution (UE) 2021/1378 de la Commission en ce qui concerne la reconnaissance, conformément à l’article 46 du règlement (UE) 2018/848 du Parlement européen et du Conseil, de certains organismes de contrôle comme ayant compétence pour effectuer les contrôles et délivrer des certificats biologiques dans les pays tiers aux fins des importations de produits biologiques dans l’Union (JOUE 15/05/2025)</w:t>
      </w:r>
    </w:p>
    <w:p w14:paraId="03CF7C10" w14:textId="77777777" w:rsidR="004D1F90" w:rsidRDefault="004D1F90" w:rsidP="004D1F90">
      <w:pPr>
        <w:shd w:val="clear" w:color="auto" w:fill="FFFFFF"/>
        <w:spacing w:after="0" w:line="240" w:lineRule="auto"/>
        <w:ind w:left="142"/>
        <w:jc w:val="both"/>
        <w:rPr>
          <w:rFonts w:ascii="Tenorite" w:hAnsi="Tenorite"/>
          <w:sz w:val="20"/>
          <w:szCs w:val="20"/>
        </w:rPr>
      </w:pPr>
      <w:r w:rsidRPr="00413B54">
        <w:rPr>
          <w:rFonts w:ascii="Tenorite" w:hAnsi="Tenorite"/>
          <w:sz w:val="20"/>
          <w:szCs w:val="20"/>
        </w:rPr>
        <w:br/>
      </w:r>
      <w:hyperlink r:id="rId46"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2025/883 de la Commission du 14 mai 2025 modifiant le règlement d’exécution (UE) 2021/2325 en ce qui concerne la reconnaissance de certains pays tiers et autorités et organismes de contrôle aux fins de l’importation de produits biologiques dans l’Union (JOUE 15/05/2025)</w:t>
      </w:r>
    </w:p>
    <w:p w14:paraId="3DA9C0CF" w14:textId="77777777" w:rsidR="004D1F90" w:rsidRPr="00413B54" w:rsidRDefault="004D1F90" w:rsidP="004D1F90">
      <w:pPr>
        <w:shd w:val="clear" w:color="auto" w:fill="FFFFFF"/>
        <w:spacing w:after="0" w:line="240" w:lineRule="auto"/>
        <w:ind w:left="142"/>
        <w:jc w:val="both"/>
        <w:rPr>
          <w:rFonts w:ascii="Tenorite" w:hAnsi="Tenorite"/>
          <w:sz w:val="20"/>
          <w:szCs w:val="20"/>
        </w:rPr>
      </w:pPr>
    </w:p>
    <w:p w14:paraId="49D71913" w14:textId="77777777" w:rsidR="004D1F90" w:rsidRPr="00413B54" w:rsidRDefault="004D1F90" w:rsidP="004D1F90">
      <w:pPr>
        <w:shd w:val="clear" w:color="auto" w:fill="FFFFFF"/>
        <w:spacing w:after="0" w:line="240" w:lineRule="auto"/>
        <w:ind w:left="142"/>
        <w:jc w:val="both"/>
        <w:rPr>
          <w:rFonts w:ascii="Tenorite" w:hAnsi="Tenorite"/>
          <w:sz w:val="20"/>
          <w:szCs w:val="20"/>
        </w:rPr>
      </w:pPr>
      <w:hyperlink r:id="rId47"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2025/973 de la Commission du 23 mai 2025 modifiant et rectifiant le règlement d’exécution (UE) 2021/1165 autorisant l’utilisation de certains produits et substances dans la production biologique et établissant la liste de ces produits et substances (JOUE 26/05/2025)</w:t>
      </w:r>
    </w:p>
    <w:p w14:paraId="06697625" w14:textId="37A2E709" w:rsidR="001B42BB" w:rsidRPr="00D160F0" w:rsidRDefault="00D160F0" w:rsidP="001B42BB">
      <w:pPr>
        <w:spacing w:after="0" w:line="240" w:lineRule="auto"/>
        <w:ind w:left="284" w:hanging="142"/>
        <w:rPr>
          <w:rFonts w:ascii="Tenorite" w:hAnsi="Tenorite"/>
          <w:b/>
        </w:rPr>
      </w:pPr>
      <w:r w:rsidRPr="00D160F0">
        <w:rPr>
          <w:rFonts w:ascii="Tenorite" w:hAnsi="Tenorite"/>
          <w:b/>
        </w:rPr>
        <w:t>/</w:t>
      </w:r>
    </w:p>
    <w:p w14:paraId="66D14657" w14:textId="77777777" w:rsidR="00767DBA" w:rsidRPr="005F3EA3" w:rsidRDefault="00767DBA" w:rsidP="001B42BB">
      <w:pPr>
        <w:spacing w:after="0" w:line="240" w:lineRule="auto"/>
        <w:ind w:left="284" w:hanging="142"/>
        <w:rPr>
          <w:rFonts w:ascii="Tenorite" w:hAnsi="Tenorite"/>
          <w:color w:val="C45911" w:themeColor="accent2" w:themeShade="BF"/>
          <w:sz w:val="20"/>
        </w:rPr>
      </w:pPr>
    </w:p>
    <w:p w14:paraId="54E176FF" w14:textId="679FF40F"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SIGNES </w:t>
      </w:r>
      <w:r>
        <w:rPr>
          <w:rFonts w:ascii="Tenorite" w:hAnsi="Tenorite"/>
          <w:b/>
          <w:color w:val="833C0B" w:themeColor="accent2" w:themeShade="80"/>
          <w:sz w:val="24"/>
        </w:rPr>
        <w:t xml:space="preserve">OFFICIELS DE </w:t>
      </w:r>
      <w:r w:rsidRPr="005F3EA3">
        <w:rPr>
          <w:rFonts w:ascii="Tenorite" w:hAnsi="Tenorite"/>
          <w:b/>
          <w:color w:val="833C0B" w:themeColor="accent2" w:themeShade="80"/>
          <w:sz w:val="24"/>
        </w:rPr>
        <w:t>QUALITE</w:t>
      </w:r>
    </w:p>
    <w:p w14:paraId="004E32DE" w14:textId="34569886" w:rsidR="005F3EA3" w:rsidRDefault="004D1F90" w:rsidP="002B7CB6">
      <w:pPr>
        <w:spacing w:after="0" w:line="240" w:lineRule="auto"/>
        <w:ind w:left="284" w:hanging="142"/>
        <w:rPr>
          <w:rFonts w:ascii="Tenorite" w:hAnsi="Tenorite"/>
          <w:b/>
        </w:rPr>
      </w:pPr>
      <w:r>
        <w:rPr>
          <w:rFonts w:ascii="Tenorite" w:hAnsi="Tenorite"/>
          <w:b/>
        </w:rPr>
        <w:t>/</w:t>
      </w:r>
    </w:p>
    <w:p w14:paraId="4446527A" w14:textId="77777777" w:rsidR="00D160F0" w:rsidRPr="005F3EA3" w:rsidRDefault="00D160F0" w:rsidP="002B7CB6">
      <w:pPr>
        <w:spacing w:after="0" w:line="240" w:lineRule="auto"/>
        <w:ind w:left="284" w:hanging="142"/>
        <w:rPr>
          <w:rFonts w:ascii="Tenorite" w:hAnsi="Tenorite"/>
          <w:b/>
        </w:rPr>
      </w:pPr>
    </w:p>
    <w:p w14:paraId="415BEA78" w14:textId="74F4CD00"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TRAITEMENT</w:t>
      </w:r>
      <w:r w:rsidR="00767DBA">
        <w:rPr>
          <w:rFonts w:ascii="Tenorite" w:hAnsi="Tenorite"/>
          <w:b/>
          <w:color w:val="833C0B" w:themeColor="accent2" w:themeShade="80"/>
          <w:sz w:val="24"/>
        </w:rPr>
        <w:t xml:space="preserve"> DES DENREES ALIEMNTAIRES </w:t>
      </w:r>
    </w:p>
    <w:p w14:paraId="7E3ECBE4" w14:textId="77777777" w:rsidR="001B42BB"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Fumigation</w:t>
      </w:r>
    </w:p>
    <w:p w14:paraId="4A20E2E9" w14:textId="77777777" w:rsidR="001B42BB"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Ionisation</w:t>
      </w:r>
    </w:p>
    <w:p w14:paraId="6AADF2DD" w14:textId="77777777" w:rsidR="001B42BB"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 xml:space="preserve">Lyophilisation  </w:t>
      </w:r>
    </w:p>
    <w:p w14:paraId="2E4AE98B" w14:textId="77777777" w:rsidR="001B42BB"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Surgélation</w:t>
      </w:r>
    </w:p>
    <w:p w14:paraId="652FAA4C" w14:textId="77777777" w:rsidR="00D025D4" w:rsidRPr="005F3EA3" w:rsidRDefault="00D025D4" w:rsidP="00D025D4">
      <w:pPr>
        <w:spacing w:after="0" w:line="276" w:lineRule="auto"/>
        <w:ind w:left="709" w:hanging="283"/>
        <w:rPr>
          <w:rFonts w:ascii="Tenorite" w:hAnsi="Tenorite" w:cs="Tahoma"/>
          <w:b/>
          <w:color w:val="EF671A"/>
          <w:sz w:val="8"/>
          <w:szCs w:val="8"/>
          <w:u w:val="single"/>
        </w:rPr>
      </w:pPr>
    </w:p>
    <w:p w14:paraId="70A5146D" w14:textId="77777777" w:rsidR="00D025D4" w:rsidRPr="002D342B" w:rsidRDefault="00D025D4" w:rsidP="00D025D4">
      <w:pPr>
        <w:spacing w:after="0" w:line="276" w:lineRule="auto"/>
        <w:ind w:left="426" w:hanging="283"/>
        <w:rPr>
          <w:rFonts w:ascii="Tenorite" w:hAnsi="Tenorite" w:cs="Tahoma"/>
          <w:b/>
          <w:color w:val="EF671A"/>
          <w:sz w:val="24"/>
          <w:szCs w:val="24"/>
          <w:u w:val="single"/>
        </w:rPr>
      </w:pPr>
      <w:r w:rsidRPr="005F3EA3">
        <w:rPr>
          <w:rFonts w:ascii="Tenorite" w:hAnsi="Tenorite" w:cs="Tahoma"/>
          <w:b/>
          <w:color w:val="EF671A"/>
          <w:sz w:val="32"/>
          <w:szCs w:val="32"/>
          <w:u w:val="single"/>
        </w:rPr>
        <w:t>Partie 2 : Règlementation verticale</w:t>
      </w:r>
      <w:r w:rsidRPr="005F3EA3">
        <w:rPr>
          <w:rFonts w:ascii="Tenorite" w:hAnsi="Tenorite" w:cs="Tahoma"/>
          <w:b/>
          <w:color w:val="EF671A"/>
          <w:sz w:val="32"/>
          <w:szCs w:val="32"/>
        </w:rPr>
        <w:t xml:space="preserve"> : </w:t>
      </w:r>
      <w:r w:rsidRPr="002D342B">
        <w:rPr>
          <w:rFonts w:ascii="Tenorite" w:hAnsi="Tenorite" w:cs="Tahoma"/>
          <w:b/>
          <w:color w:val="EF671A"/>
          <w:sz w:val="24"/>
          <w:szCs w:val="24"/>
        </w:rPr>
        <w:t>Secteurs d’activité (Matières traitées et produits finis)</w:t>
      </w:r>
    </w:p>
    <w:p w14:paraId="227D4157" w14:textId="2F88B25E" w:rsidR="00D025D4" w:rsidRPr="005F3EA3" w:rsidRDefault="00E464D9" w:rsidP="00D025D4">
      <w:pPr>
        <w:shd w:val="clear" w:color="auto" w:fill="D9D9D9" w:themeFill="background1" w:themeFillShade="D9"/>
        <w:spacing w:after="0"/>
        <w:ind w:left="426" w:hanging="283"/>
        <w:rPr>
          <w:rFonts w:ascii="Tenorite" w:hAnsi="Tenorite"/>
          <w:b/>
          <w:color w:val="833C0B" w:themeColor="accent2" w:themeShade="80"/>
          <w:sz w:val="24"/>
          <w:szCs w:val="24"/>
        </w:rPr>
      </w:pPr>
      <w:r>
        <w:rPr>
          <w:rFonts w:ascii="Tenorite" w:hAnsi="Tenorite"/>
          <w:b/>
          <w:color w:val="833C0B" w:themeColor="accent2" w:themeShade="80"/>
          <w:sz w:val="24"/>
          <w:szCs w:val="24"/>
        </w:rPr>
        <w:t>CEREALES ET PRODUITS DU GRAIN</w:t>
      </w:r>
    </w:p>
    <w:p w14:paraId="5528EBC8" w14:textId="77777777" w:rsidR="00E464D9" w:rsidRPr="005F3EA3" w:rsidRDefault="00E464D9"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t>Céréales</w:t>
      </w:r>
    </w:p>
    <w:p w14:paraId="593835D4" w14:textId="77777777" w:rsidR="00CD28C2" w:rsidRPr="00413B54" w:rsidRDefault="00CD28C2" w:rsidP="00CD28C2">
      <w:pPr>
        <w:spacing w:after="0" w:line="240" w:lineRule="auto"/>
        <w:ind w:left="142"/>
        <w:jc w:val="both"/>
        <w:rPr>
          <w:rFonts w:ascii="Tenorite" w:hAnsi="Tenorite"/>
          <w:sz w:val="20"/>
          <w:szCs w:val="20"/>
        </w:rPr>
      </w:pPr>
      <w:hyperlink r:id="rId48" w:history="1">
        <w:r w:rsidRPr="00413B54">
          <w:rPr>
            <w:rStyle w:val="Lienhypertexte"/>
            <w:rFonts w:ascii="Tenorite" w:hAnsi="Tenorite" w:cs="Segoe UI"/>
            <w:sz w:val="20"/>
            <w:szCs w:val="20"/>
            <w:shd w:val="clear" w:color="auto" w:fill="FFFFFF"/>
          </w:rPr>
          <w:t>Arrêté</w:t>
        </w:r>
      </w:hyperlink>
      <w:r w:rsidRPr="00413B54">
        <w:rPr>
          <w:rFonts w:ascii="Tenorite" w:hAnsi="Tenorite" w:cs="Segoe UI"/>
          <w:color w:val="242424"/>
          <w:sz w:val="20"/>
          <w:szCs w:val="20"/>
          <w:shd w:val="clear" w:color="auto" w:fill="FFFFFF"/>
        </w:rPr>
        <w:t xml:space="preserve"> du 7 mai 2025 relatif à l'extension de l'accord interprofessionnel relatif à la qualité du blé tendre et à la teneur en protéines pour les campagnes 2025-26, 2026-27, 2027-28 (JORF 11/05/2025)</w:t>
      </w:r>
    </w:p>
    <w:p w14:paraId="5C75E134" w14:textId="77777777" w:rsidR="00CD28C2" w:rsidRPr="00413B54" w:rsidRDefault="00CD28C2" w:rsidP="00CD28C2">
      <w:pPr>
        <w:spacing w:after="0" w:line="240" w:lineRule="auto"/>
        <w:ind w:left="142"/>
        <w:jc w:val="both"/>
        <w:rPr>
          <w:rFonts w:ascii="Tenorite" w:hAnsi="Tenorite"/>
          <w:sz w:val="20"/>
          <w:szCs w:val="20"/>
        </w:rPr>
      </w:pPr>
    </w:p>
    <w:p w14:paraId="314D63E7" w14:textId="77777777" w:rsidR="00CD28C2" w:rsidRPr="00CD28C2" w:rsidRDefault="00CD28C2" w:rsidP="00CD28C2">
      <w:pPr>
        <w:spacing w:after="0" w:line="240" w:lineRule="auto"/>
        <w:ind w:left="142"/>
        <w:jc w:val="both"/>
        <w:rPr>
          <w:rFonts w:ascii="Tenorite" w:eastAsia="Times New Roman" w:hAnsi="Tenorite" w:cs="Times New Roman"/>
          <w:sz w:val="20"/>
          <w:szCs w:val="20"/>
          <w:lang w:eastAsia="fr-FR"/>
        </w:rPr>
      </w:pPr>
      <w:hyperlink r:id="rId49" w:history="1">
        <w:r w:rsidRPr="00413B54">
          <w:rPr>
            <w:rFonts w:ascii="Tenorite" w:eastAsia="Times New Roman" w:hAnsi="Tenorite" w:cs="Times New Roman"/>
            <w:b/>
            <w:bCs/>
            <w:color w:val="0088CC"/>
            <w:sz w:val="20"/>
            <w:szCs w:val="20"/>
            <w:u w:val="single"/>
            <w:shd w:val="clear" w:color="auto" w:fill="FFFFFF"/>
            <w:lang w:eastAsia="fr-FR"/>
          </w:rPr>
          <w:t>Avis</w:t>
        </w:r>
      </w:hyperlink>
      <w:r w:rsidRPr="00413B54">
        <w:rPr>
          <w:rFonts w:ascii="Tenorite" w:eastAsia="Times New Roman" w:hAnsi="Tenorite" w:cs="Times New Roman"/>
          <w:color w:val="636363"/>
          <w:sz w:val="20"/>
          <w:szCs w:val="20"/>
          <w:shd w:val="clear" w:color="auto" w:fill="FFFFFF"/>
          <w:lang w:eastAsia="fr-FR"/>
        </w:rPr>
        <w:t> </w:t>
      </w:r>
      <w:r w:rsidRPr="00CD28C2">
        <w:rPr>
          <w:rFonts w:ascii="Tenorite" w:eastAsia="Times New Roman" w:hAnsi="Tenorite" w:cs="Times New Roman"/>
          <w:sz w:val="20"/>
          <w:szCs w:val="20"/>
          <w:shd w:val="clear" w:color="auto" w:fill="FFFFFF"/>
          <w:lang w:eastAsia="fr-FR"/>
        </w:rPr>
        <w:t xml:space="preserve">du 22-05-2025 - </w:t>
      </w:r>
      <w:r w:rsidRPr="00CD28C2">
        <w:rPr>
          <w:rFonts w:ascii="Tenorite" w:eastAsia="Times New Roman" w:hAnsi="Tenorite" w:cs="Times New Roman"/>
          <w:sz w:val="20"/>
          <w:szCs w:val="20"/>
          <w:lang w:eastAsia="fr-FR"/>
        </w:rPr>
        <w:t>Avis portant extension de l'accord interprofessionnel relatif à la qualité du blé tendre et à la teneur protéines pour les campagnes 2025-26, 2026-27, 2027-28 (DGPE)</w:t>
      </w:r>
    </w:p>
    <w:p w14:paraId="00FE70DC" w14:textId="77777777" w:rsidR="00CD28C2" w:rsidRPr="00413B54" w:rsidRDefault="00CD28C2" w:rsidP="00CD28C2">
      <w:pPr>
        <w:spacing w:after="0" w:line="240" w:lineRule="auto"/>
        <w:ind w:left="142"/>
        <w:jc w:val="both"/>
        <w:rPr>
          <w:rFonts w:ascii="Tenorite" w:eastAsia="Times New Roman" w:hAnsi="Tenorite" w:cs="Times New Roman"/>
          <w:color w:val="636363"/>
          <w:sz w:val="20"/>
          <w:szCs w:val="20"/>
          <w:lang w:eastAsia="fr-FR"/>
        </w:rPr>
      </w:pPr>
    </w:p>
    <w:p w14:paraId="1DEA3D7C" w14:textId="77777777" w:rsidR="00E464D9" w:rsidRDefault="00E464D9"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t>Farines</w:t>
      </w:r>
    </w:p>
    <w:p w14:paraId="3E45921E" w14:textId="77777777" w:rsidR="00E464D9" w:rsidRPr="005F3EA3" w:rsidRDefault="00E464D9"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t>Pains, viennoiseries</w:t>
      </w:r>
    </w:p>
    <w:p w14:paraId="31CA8B86" w14:textId="77777777" w:rsidR="00E464D9" w:rsidRPr="005F3EA3" w:rsidRDefault="00E464D9"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t>Pâtisseries</w:t>
      </w:r>
    </w:p>
    <w:p w14:paraId="42576B6C" w14:textId="77777777" w:rsidR="00E464D9" w:rsidRDefault="00E464D9"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t>Signes officiels de qualité</w:t>
      </w:r>
    </w:p>
    <w:p w14:paraId="65715473" w14:textId="77777777" w:rsidR="00D160F0" w:rsidRDefault="00D160F0" w:rsidP="00D160F0">
      <w:pPr>
        <w:spacing w:after="0" w:line="240" w:lineRule="auto"/>
        <w:ind w:left="426" w:hanging="284"/>
        <w:rPr>
          <w:rFonts w:ascii="Tenorite" w:hAnsi="Tenorite"/>
          <w:color w:val="C45911" w:themeColor="accent2" w:themeShade="BF"/>
          <w:sz w:val="20"/>
          <w:szCs w:val="18"/>
        </w:rPr>
      </w:pPr>
    </w:p>
    <w:p w14:paraId="57B86A9D" w14:textId="2320FAA8" w:rsidR="00E464D9" w:rsidRPr="005F3EA3" w:rsidRDefault="00E464D9" w:rsidP="00E464D9">
      <w:pPr>
        <w:shd w:val="clear" w:color="auto" w:fill="D9D9D9" w:themeFill="background1" w:themeFillShade="D9"/>
        <w:spacing w:after="0"/>
        <w:ind w:left="426" w:hanging="283"/>
        <w:rPr>
          <w:rFonts w:ascii="Tenorite" w:hAnsi="Tenorite"/>
          <w:b/>
        </w:rPr>
      </w:pPr>
      <w:r>
        <w:rPr>
          <w:rFonts w:ascii="Tenorite" w:hAnsi="Tenorite"/>
          <w:b/>
          <w:color w:val="833C0B" w:themeColor="accent2" w:themeShade="80"/>
          <w:sz w:val="24"/>
          <w:szCs w:val="24"/>
        </w:rPr>
        <w:t xml:space="preserve">HUILES ET CORPS GRAS </w:t>
      </w:r>
      <w:r w:rsidRPr="005F3EA3">
        <w:rPr>
          <w:rFonts w:ascii="Tenorite" w:hAnsi="Tenorite"/>
          <w:b/>
        </w:rPr>
        <w:t xml:space="preserve"> </w:t>
      </w:r>
    </w:p>
    <w:p w14:paraId="6541BAAC" w14:textId="66E52376" w:rsidR="00E464D9" w:rsidRPr="005F3EA3" w:rsidRDefault="00E464D9"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t>Huiles et graisses</w:t>
      </w:r>
    </w:p>
    <w:p w14:paraId="77FF2622" w14:textId="77777777" w:rsidR="00E464D9" w:rsidRPr="00D160F0" w:rsidRDefault="00E464D9" w:rsidP="00D160F0">
      <w:pPr>
        <w:spacing w:after="0" w:line="240" w:lineRule="auto"/>
        <w:ind w:left="426" w:hanging="284"/>
        <w:rPr>
          <w:rFonts w:ascii="Tenorite" w:hAnsi="Tenorite"/>
          <w:color w:val="C45911" w:themeColor="accent2" w:themeShade="BF"/>
          <w:sz w:val="20"/>
          <w:szCs w:val="18"/>
        </w:rPr>
      </w:pPr>
    </w:p>
    <w:p w14:paraId="7CCFE82A" w14:textId="77777777" w:rsidR="00D025D4" w:rsidRPr="005F3EA3" w:rsidRDefault="00D025D4" w:rsidP="00D025D4">
      <w:pPr>
        <w:shd w:val="clear" w:color="auto" w:fill="D9D9D9" w:themeFill="background1" w:themeFillShade="D9"/>
        <w:spacing w:after="0"/>
        <w:ind w:left="426" w:hanging="283"/>
        <w:rPr>
          <w:rFonts w:ascii="Tenorite" w:hAnsi="Tenorite"/>
          <w:b/>
        </w:rPr>
      </w:pPr>
      <w:r w:rsidRPr="005F3EA3">
        <w:rPr>
          <w:rFonts w:ascii="Tenorite" w:hAnsi="Tenorite"/>
          <w:b/>
          <w:color w:val="833C0B" w:themeColor="accent2" w:themeShade="80"/>
          <w:sz w:val="24"/>
          <w:szCs w:val="24"/>
        </w:rPr>
        <w:t>LAITS ET PRODUITS LAITIERS</w:t>
      </w:r>
      <w:r w:rsidRPr="005F3EA3">
        <w:rPr>
          <w:rFonts w:ascii="Tenorite" w:hAnsi="Tenorite"/>
          <w:b/>
        </w:rPr>
        <w:t xml:space="preserve"> </w:t>
      </w:r>
    </w:p>
    <w:p w14:paraId="4F0A9628" w14:textId="0A56C80E" w:rsidR="00D025D4" w:rsidRPr="005F3EA3" w:rsidRDefault="00D025D4" w:rsidP="00D160F0">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Beurre</w:t>
      </w:r>
      <w:r w:rsidRPr="005F3EA3">
        <w:rPr>
          <w:rFonts w:ascii="Tenorite" w:hAnsi="Tenorite"/>
          <w:color w:val="C45911" w:themeColor="accent2" w:themeShade="BF"/>
          <w:sz w:val="20"/>
          <w:szCs w:val="18"/>
        </w:rPr>
        <w:tab/>
      </w:r>
      <w:r w:rsidR="00CD28C2">
        <w:rPr>
          <w:rFonts w:ascii="Tenorite" w:hAnsi="Tenorite"/>
          <w:color w:val="C45911" w:themeColor="accent2" w:themeShade="BF"/>
          <w:sz w:val="20"/>
          <w:szCs w:val="18"/>
        </w:rPr>
        <w:t xml:space="preserve"> /</w:t>
      </w:r>
    </w:p>
    <w:p w14:paraId="08F43676" w14:textId="77777777" w:rsidR="00D025D4" w:rsidRDefault="00D025D4" w:rsidP="00D160F0">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Lait</w:t>
      </w:r>
      <w:r w:rsidR="0012180A" w:rsidRPr="005F3EA3">
        <w:rPr>
          <w:rFonts w:ascii="Tenorite" w:hAnsi="Tenorite"/>
          <w:color w:val="C45911" w:themeColor="accent2" w:themeShade="BF"/>
          <w:sz w:val="20"/>
          <w:szCs w:val="18"/>
        </w:rPr>
        <w:t>, produits laitiers</w:t>
      </w:r>
    </w:p>
    <w:p w14:paraId="02A17667" w14:textId="77777777" w:rsidR="00CD28C2" w:rsidRPr="00413B54" w:rsidRDefault="00CD28C2" w:rsidP="00CD28C2">
      <w:pPr>
        <w:spacing w:after="0" w:line="240" w:lineRule="auto"/>
        <w:ind w:left="142"/>
        <w:jc w:val="both"/>
        <w:rPr>
          <w:rFonts w:ascii="Tenorite" w:eastAsia="Times New Roman" w:hAnsi="Tenorite" w:cs="Times New Roman"/>
          <w:color w:val="636363"/>
          <w:sz w:val="20"/>
          <w:szCs w:val="20"/>
          <w:lang w:eastAsia="fr-FR"/>
        </w:rPr>
      </w:pPr>
      <w:hyperlink r:id="rId50" w:history="1">
        <w:r w:rsidRPr="00413B54">
          <w:rPr>
            <w:rFonts w:ascii="Tenorite" w:eastAsia="Times New Roman" w:hAnsi="Tenorite" w:cs="Times New Roman"/>
            <w:b/>
            <w:bCs/>
            <w:color w:val="0088CC"/>
            <w:sz w:val="20"/>
            <w:szCs w:val="20"/>
            <w:u w:val="single"/>
            <w:shd w:val="clear" w:color="auto" w:fill="FFFFFF"/>
            <w:lang w:eastAsia="fr-FR"/>
          </w:rPr>
          <w:t>Avis</w:t>
        </w:r>
      </w:hyperlink>
      <w:r w:rsidRPr="00413B54">
        <w:rPr>
          <w:rFonts w:ascii="Tenorite" w:eastAsia="Times New Roman" w:hAnsi="Tenorite" w:cs="Times New Roman"/>
          <w:color w:val="636363"/>
          <w:sz w:val="20"/>
          <w:szCs w:val="20"/>
          <w:shd w:val="clear" w:color="auto" w:fill="FFFFFF"/>
          <w:lang w:eastAsia="fr-FR"/>
        </w:rPr>
        <w:t> </w:t>
      </w:r>
      <w:r w:rsidRPr="00CD28C2">
        <w:rPr>
          <w:rFonts w:ascii="Tenorite" w:eastAsia="Times New Roman" w:hAnsi="Tenorite" w:cs="Times New Roman"/>
          <w:sz w:val="20"/>
          <w:szCs w:val="20"/>
          <w:shd w:val="clear" w:color="auto" w:fill="FFFFFF"/>
          <w:lang w:eastAsia="fr-FR"/>
        </w:rPr>
        <w:t xml:space="preserve">du 15-05-2025 - </w:t>
      </w:r>
      <w:r w:rsidRPr="00CD28C2">
        <w:rPr>
          <w:rFonts w:ascii="Tenorite" w:eastAsia="Times New Roman" w:hAnsi="Tenorite" w:cs="Times New Roman"/>
          <w:sz w:val="20"/>
          <w:szCs w:val="20"/>
          <w:lang w:eastAsia="fr-FR"/>
        </w:rPr>
        <w:t>Avis portant extension de l’accord interprofessionnel conclu dans le cadre du Centre National Interprofessionnel de l’Économie Laitière (CNIEL) relatif au paiement du lait de vache en fonction de sa composition et de sa qualité (DGPE</w:t>
      </w:r>
      <w:r w:rsidRPr="00413B54">
        <w:rPr>
          <w:rFonts w:ascii="Tenorite" w:eastAsia="Times New Roman" w:hAnsi="Tenorite" w:cs="Times New Roman"/>
          <w:color w:val="636363"/>
          <w:sz w:val="20"/>
          <w:szCs w:val="20"/>
          <w:lang w:eastAsia="fr-FR"/>
        </w:rPr>
        <w:t>)</w:t>
      </w:r>
    </w:p>
    <w:p w14:paraId="0ED0FDB3" w14:textId="77777777" w:rsidR="00CD28C2" w:rsidRPr="005F3EA3" w:rsidRDefault="00CD28C2" w:rsidP="00D160F0">
      <w:pPr>
        <w:spacing w:after="0" w:line="240" w:lineRule="auto"/>
        <w:ind w:left="426" w:hanging="283"/>
        <w:rPr>
          <w:rFonts w:ascii="Tenorite" w:hAnsi="Tenorite"/>
          <w:color w:val="C45911" w:themeColor="accent2" w:themeShade="BF"/>
          <w:sz w:val="20"/>
          <w:szCs w:val="18"/>
        </w:rPr>
      </w:pPr>
    </w:p>
    <w:p w14:paraId="43819D73" w14:textId="77777777" w:rsidR="004D1F90" w:rsidRDefault="004D1F90" w:rsidP="00D160F0">
      <w:pPr>
        <w:spacing w:after="0" w:line="240" w:lineRule="auto"/>
        <w:ind w:left="426" w:hanging="283"/>
        <w:rPr>
          <w:rFonts w:ascii="Tenorite" w:hAnsi="Tenorite"/>
          <w:color w:val="C45911" w:themeColor="accent2" w:themeShade="BF"/>
          <w:sz w:val="20"/>
          <w:szCs w:val="18"/>
        </w:rPr>
      </w:pPr>
    </w:p>
    <w:p w14:paraId="433EC9A7" w14:textId="77777777" w:rsidR="004D1F90" w:rsidRDefault="004D1F90" w:rsidP="00D160F0">
      <w:pPr>
        <w:spacing w:after="0" w:line="240" w:lineRule="auto"/>
        <w:ind w:left="426" w:hanging="283"/>
        <w:rPr>
          <w:rFonts w:ascii="Tenorite" w:hAnsi="Tenorite"/>
          <w:color w:val="C45911" w:themeColor="accent2" w:themeShade="BF"/>
          <w:sz w:val="20"/>
          <w:szCs w:val="18"/>
        </w:rPr>
      </w:pPr>
    </w:p>
    <w:p w14:paraId="1BD9FE19" w14:textId="5E822E80" w:rsidR="0012180A" w:rsidRDefault="0012180A" w:rsidP="00D160F0">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Signes officiels de qualité</w:t>
      </w:r>
    </w:p>
    <w:p w14:paraId="7D9C4C78" w14:textId="77777777" w:rsidR="00CD28C2" w:rsidRPr="00413B54" w:rsidRDefault="00CD28C2" w:rsidP="00CD28C2">
      <w:pPr>
        <w:spacing w:after="0" w:line="240" w:lineRule="auto"/>
        <w:ind w:left="142"/>
        <w:jc w:val="both"/>
        <w:rPr>
          <w:rFonts w:ascii="Tenorite" w:hAnsi="Tenorite"/>
          <w:sz w:val="20"/>
          <w:szCs w:val="20"/>
        </w:rPr>
      </w:pPr>
      <w:hyperlink r:id="rId51" w:history="1">
        <w:r w:rsidRPr="00413B54">
          <w:rPr>
            <w:rStyle w:val="Lienhypertexte"/>
            <w:rFonts w:ascii="Tenorite" w:hAnsi="Tenorite"/>
            <w:sz w:val="20"/>
            <w:szCs w:val="20"/>
          </w:rPr>
          <w:t>Publication</w:t>
        </w:r>
      </w:hyperlink>
      <w:r w:rsidRPr="00413B54">
        <w:rPr>
          <w:rFonts w:ascii="Tenorite" w:hAnsi="Tenorite"/>
          <w:sz w:val="20"/>
          <w:szCs w:val="20"/>
        </w:rPr>
        <w:t xml:space="preserve"> de la communication d’une modification standard approuvée du cahier des charges d’une indication géographique conformément à l’article 5, paragraphe 4, du règlement délégué (UE) 2025/27 de la Commission [Fourme de Montbrison] (JOUE 06/05/2025)</w:t>
      </w:r>
    </w:p>
    <w:p w14:paraId="702E9B9D" w14:textId="77777777" w:rsidR="00CD28C2" w:rsidRPr="00413B54" w:rsidRDefault="00CD28C2" w:rsidP="00CD28C2">
      <w:pPr>
        <w:spacing w:after="0" w:line="240" w:lineRule="auto"/>
        <w:ind w:left="142"/>
        <w:jc w:val="both"/>
        <w:rPr>
          <w:rFonts w:ascii="Tenorite" w:hAnsi="Tenorite"/>
          <w:sz w:val="20"/>
          <w:szCs w:val="20"/>
        </w:rPr>
      </w:pPr>
    </w:p>
    <w:p w14:paraId="4714D856" w14:textId="77777777" w:rsidR="00CD28C2" w:rsidRPr="00413B54" w:rsidRDefault="00CD28C2" w:rsidP="00CD28C2">
      <w:pPr>
        <w:spacing w:after="0" w:line="240" w:lineRule="auto"/>
        <w:ind w:left="142"/>
        <w:jc w:val="both"/>
        <w:rPr>
          <w:rFonts w:ascii="Tenorite" w:hAnsi="Tenorite"/>
          <w:sz w:val="20"/>
          <w:szCs w:val="20"/>
        </w:rPr>
      </w:pPr>
      <w:hyperlink r:id="rId52"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2025/1009 de la Commission du 26 mai 2025 relatif à l’approbation d’une modification du cahier des charges de la spécialité traditionnelle garantie Berthoud (JOUE 27/05/2025)</w:t>
      </w:r>
    </w:p>
    <w:p w14:paraId="05BC304A" w14:textId="77777777" w:rsidR="00CD28C2" w:rsidRPr="00413B54" w:rsidRDefault="00CD28C2" w:rsidP="00CD28C2">
      <w:pPr>
        <w:spacing w:after="0" w:line="240" w:lineRule="auto"/>
        <w:ind w:left="142"/>
        <w:jc w:val="both"/>
        <w:rPr>
          <w:rFonts w:ascii="Tenorite" w:hAnsi="Tenorite"/>
          <w:sz w:val="20"/>
          <w:szCs w:val="20"/>
        </w:rPr>
      </w:pPr>
    </w:p>
    <w:p w14:paraId="360FAFAC" w14:textId="77777777" w:rsidR="004D1F90" w:rsidRDefault="00CD28C2" w:rsidP="00CD28C2">
      <w:pPr>
        <w:spacing w:after="0" w:line="240" w:lineRule="auto"/>
        <w:ind w:left="142"/>
        <w:jc w:val="both"/>
        <w:rPr>
          <w:rFonts w:ascii="Tenorite" w:hAnsi="Tenorite"/>
          <w:sz w:val="20"/>
          <w:szCs w:val="20"/>
        </w:rPr>
      </w:pPr>
      <w:hyperlink r:id="rId53" w:history="1">
        <w:r w:rsidRPr="00413B54">
          <w:rPr>
            <w:rStyle w:val="Lienhypertexte"/>
            <w:rFonts w:ascii="Tenorite" w:hAnsi="Tenorite"/>
            <w:sz w:val="20"/>
            <w:szCs w:val="20"/>
          </w:rPr>
          <w:t>Règlement</w:t>
        </w:r>
      </w:hyperlink>
      <w:r w:rsidRPr="00413B54">
        <w:rPr>
          <w:rFonts w:ascii="Tenorite" w:hAnsi="Tenorite"/>
          <w:sz w:val="20"/>
          <w:szCs w:val="20"/>
        </w:rPr>
        <w:t xml:space="preserve"> d’exécution (UE) 2025/1020 de la Commission du 26 mai 2025 enregistrant l’indication géographique </w:t>
      </w:r>
      <w:proofErr w:type="spellStart"/>
      <w:r w:rsidRPr="00413B54">
        <w:rPr>
          <w:rFonts w:ascii="Tenorite" w:hAnsi="Tenorite"/>
          <w:sz w:val="20"/>
          <w:szCs w:val="20"/>
        </w:rPr>
        <w:t>Pérail</w:t>
      </w:r>
      <w:proofErr w:type="spellEnd"/>
      <w:r w:rsidRPr="00413B54">
        <w:rPr>
          <w:rFonts w:ascii="Tenorite" w:hAnsi="Tenorite"/>
          <w:sz w:val="20"/>
          <w:szCs w:val="20"/>
        </w:rPr>
        <w:t xml:space="preserve"> (IGP) dans le registre des indications géographiques de l’Union conformément au règlement (UE) 2024/1143 du Parlement européen et du Conseil (JOUE 27/05/2025)</w:t>
      </w:r>
    </w:p>
    <w:p w14:paraId="24773EA6" w14:textId="77777777" w:rsidR="00D160F0" w:rsidRDefault="00D160F0" w:rsidP="00D160F0">
      <w:pPr>
        <w:spacing w:after="0" w:line="240" w:lineRule="auto"/>
        <w:ind w:left="426" w:hanging="283"/>
        <w:rPr>
          <w:rFonts w:ascii="Tenorite" w:hAnsi="Tenorite"/>
          <w:color w:val="C45911" w:themeColor="accent2" w:themeShade="BF"/>
          <w:sz w:val="20"/>
          <w:szCs w:val="18"/>
        </w:rPr>
      </w:pPr>
    </w:p>
    <w:p w14:paraId="14F5C586"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ŒUFS ET OVOPRODUITS </w:t>
      </w:r>
    </w:p>
    <w:p w14:paraId="33A76140" w14:textId="03926A23" w:rsidR="00D025D4" w:rsidRDefault="00E464D9" w:rsidP="00D160F0">
      <w:pPr>
        <w:spacing w:after="0" w:line="240" w:lineRule="auto"/>
        <w:ind w:left="426" w:hanging="283"/>
        <w:rPr>
          <w:rFonts w:ascii="Tenorite" w:hAnsi="Tenorite"/>
          <w:color w:val="C45911" w:themeColor="accent2" w:themeShade="BF"/>
          <w:sz w:val="20"/>
          <w:szCs w:val="18"/>
        </w:rPr>
      </w:pPr>
      <w:r>
        <w:rPr>
          <w:rFonts w:ascii="Tenorite" w:hAnsi="Tenorite"/>
          <w:color w:val="C45911" w:themeColor="accent2" w:themeShade="BF"/>
          <w:sz w:val="20"/>
          <w:szCs w:val="18"/>
        </w:rPr>
        <w:t>Généralités</w:t>
      </w:r>
    </w:p>
    <w:p w14:paraId="5AD42107" w14:textId="77777777" w:rsidR="00141A61" w:rsidRDefault="00141A61" w:rsidP="00141A61">
      <w:pPr>
        <w:shd w:val="clear" w:color="auto" w:fill="FFFFFF"/>
        <w:spacing w:after="0" w:line="240" w:lineRule="auto"/>
        <w:ind w:left="142"/>
        <w:jc w:val="both"/>
        <w:rPr>
          <w:rFonts w:ascii="Tenorite" w:eastAsia="Times New Roman" w:hAnsi="Tenorite" w:cstheme="minorHAnsi"/>
          <w:sz w:val="20"/>
          <w:szCs w:val="20"/>
          <w:lang w:eastAsia="fr-FR"/>
        </w:rPr>
      </w:pPr>
      <w:hyperlink r:id="rId54" w:history="1">
        <w:r w:rsidRPr="00141A61">
          <w:rPr>
            <w:rStyle w:val="Lienhypertexte"/>
            <w:rFonts w:ascii="Tenorite" w:eastAsia="Times New Roman" w:hAnsi="Tenorite" w:cstheme="minorHAnsi"/>
            <w:color w:val="auto"/>
            <w:sz w:val="20"/>
            <w:szCs w:val="20"/>
            <w:lang w:eastAsia="fr-FR"/>
          </w:rPr>
          <w:t>Règlement</w:t>
        </w:r>
      </w:hyperlink>
      <w:r w:rsidRPr="00141A61">
        <w:rPr>
          <w:rFonts w:ascii="Tenorite" w:eastAsia="Times New Roman" w:hAnsi="Tenorite" w:cstheme="minorHAnsi"/>
          <w:sz w:val="20"/>
          <w:szCs w:val="20"/>
          <w:lang w:eastAsia="fr-FR"/>
        </w:rPr>
        <w:t xml:space="preserve"> d’exécution (UE) 2025/1113 de la Commission du 26 mai 2025 modifiant le règlement (CE) no 1484/95 en ce qui concerne la fixation des prix représentatifs dans les secteurs de la viande de volaille et des œufs ainsi que pour l’ovalbumine (JOUE 28/05/2025)</w:t>
      </w:r>
    </w:p>
    <w:p w14:paraId="5CAD866B" w14:textId="77777777" w:rsidR="004D1F90" w:rsidRPr="00141A61" w:rsidRDefault="004D1F90" w:rsidP="00141A61">
      <w:pPr>
        <w:shd w:val="clear" w:color="auto" w:fill="FFFFFF"/>
        <w:spacing w:after="0" w:line="240" w:lineRule="auto"/>
        <w:ind w:left="142"/>
        <w:jc w:val="both"/>
        <w:rPr>
          <w:rFonts w:ascii="Tenorite" w:eastAsia="Times New Roman" w:hAnsi="Tenorite" w:cstheme="minorHAnsi"/>
          <w:sz w:val="20"/>
          <w:szCs w:val="20"/>
          <w:lang w:eastAsia="fr-FR"/>
        </w:rPr>
      </w:pPr>
    </w:p>
    <w:p w14:paraId="4398C179" w14:textId="5D814C2E" w:rsidR="0012180A" w:rsidRDefault="0012180A" w:rsidP="00D160F0">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Signes officiels de qualité</w:t>
      </w:r>
    </w:p>
    <w:p w14:paraId="25F76FA3" w14:textId="77777777" w:rsidR="0012180A" w:rsidRPr="00BF1263" w:rsidRDefault="0012180A" w:rsidP="00D025D4">
      <w:pPr>
        <w:spacing w:after="0" w:line="240" w:lineRule="auto"/>
        <w:ind w:left="426" w:hanging="283"/>
        <w:rPr>
          <w:rFonts w:ascii="Tenorite" w:hAnsi="Tenorite"/>
          <w:bCs/>
          <w:color w:val="C45911" w:themeColor="accent2" w:themeShade="BF"/>
          <w:sz w:val="20"/>
          <w:szCs w:val="18"/>
        </w:rPr>
      </w:pPr>
    </w:p>
    <w:p w14:paraId="5B9F02A9"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PRODUITS SUCRES </w:t>
      </w:r>
    </w:p>
    <w:p w14:paraId="7E35E821" w14:textId="77777777" w:rsidR="00D025D4" w:rsidRPr="005F3EA3" w:rsidRDefault="00D025D4"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t>Cacao et chocolat</w:t>
      </w:r>
    </w:p>
    <w:p w14:paraId="16EF5DD3" w14:textId="77777777" w:rsidR="00D025D4" w:rsidRPr="005F3EA3" w:rsidRDefault="00D025D4"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t>Confitures et compotes</w:t>
      </w:r>
    </w:p>
    <w:p w14:paraId="2BF906C4" w14:textId="77777777" w:rsidR="00D025D4" w:rsidRDefault="00D025D4"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lastRenderedPageBreak/>
        <w:t>Sucres</w:t>
      </w:r>
    </w:p>
    <w:p w14:paraId="260F820D" w14:textId="77777777" w:rsidR="00D160F0" w:rsidRPr="005F3EA3" w:rsidRDefault="00D160F0" w:rsidP="00D160F0">
      <w:pPr>
        <w:spacing w:after="0" w:line="240" w:lineRule="auto"/>
        <w:ind w:left="426" w:hanging="284"/>
        <w:rPr>
          <w:rFonts w:ascii="Tenorite" w:hAnsi="Tenorite"/>
          <w:color w:val="C45911" w:themeColor="accent2" w:themeShade="BF"/>
          <w:sz w:val="20"/>
          <w:szCs w:val="18"/>
        </w:rPr>
      </w:pPr>
    </w:p>
    <w:p w14:paraId="12B01DA5"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VIANDES ET PRODUITS À BASE DE VIANDE </w:t>
      </w:r>
    </w:p>
    <w:p w14:paraId="1FEAE392" w14:textId="6FBBF6FA" w:rsidR="00D025D4" w:rsidRDefault="00D025D4" w:rsidP="00D871A1">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Maladies</w:t>
      </w:r>
    </w:p>
    <w:p w14:paraId="3888C806" w14:textId="77777777" w:rsidR="00CD28C2" w:rsidRPr="004D1F90" w:rsidRDefault="00CD28C2" w:rsidP="00CD28C2">
      <w:pPr>
        <w:shd w:val="clear" w:color="auto" w:fill="FFFFFF"/>
        <w:ind w:left="142"/>
        <w:jc w:val="both"/>
        <w:rPr>
          <w:rFonts w:ascii="Tenorite" w:hAnsi="Tenorite" w:cstheme="minorHAnsi"/>
          <w:sz w:val="20"/>
          <w:szCs w:val="20"/>
          <w:shd w:val="clear" w:color="auto" w:fill="FFFFFF"/>
        </w:rPr>
      </w:pPr>
      <w:hyperlink r:id="rId55" w:history="1">
        <w:r w:rsidRPr="004D1F90">
          <w:rPr>
            <w:rStyle w:val="Lienhypertexte"/>
            <w:rFonts w:ascii="Tenorite" w:hAnsi="Tenorite" w:cstheme="minorHAnsi"/>
            <w:color w:val="auto"/>
            <w:sz w:val="20"/>
            <w:szCs w:val="20"/>
            <w:shd w:val="clear" w:color="auto" w:fill="FFFFFF"/>
          </w:rPr>
          <w:t>Arrêté</w:t>
        </w:r>
      </w:hyperlink>
      <w:r w:rsidRPr="004D1F90">
        <w:rPr>
          <w:rFonts w:ascii="Tenorite" w:hAnsi="Tenorite" w:cstheme="minorHAnsi"/>
          <w:sz w:val="20"/>
          <w:szCs w:val="20"/>
          <w:shd w:val="clear" w:color="auto" w:fill="FFFFFF"/>
        </w:rPr>
        <w:t xml:space="preserve"> du 30 avril 2025 qualifiant le niveau de risque en matière d'influenza aviaire hautement pathogène (JORF 07/05/2025)</w:t>
      </w:r>
    </w:p>
    <w:p w14:paraId="726E4FBD" w14:textId="77777777" w:rsidR="00CD28C2" w:rsidRPr="004D1F90" w:rsidRDefault="00CD28C2" w:rsidP="00CD28C2">
      <w:pPr>
        <w:shd w:val="clear" w:color="auto" w:fill="FFFFFF"/>
        <w:ind w:left="142"/>
        <w:jc w:val="both"/>
        <w:rPr>
          <w:rFonts w:ascii="Tenorite" w:eastAsia="Times New Roman" w:hAnsi="Tenorite" w:cstheme="minorHAnsi"/>
          <w:sz w:val="20"/>
          <w:szCs w:val="20"/>
          <w:lang w:eastAsia="fr-FR"/>
        </w:rPr>
      </w:pPr>
      <w:hyperlink r:id="rId56" w:history="1">
        <w:r w:rsidRPr="004D1F90">
          <w:rPr>
            <w:rStyle w:val="Lienhypertexte"/>
            <w:rFonts w:ascii="Tenorite" w:eastAsia="Times New Roman" w:hAnsi="Tenorite" w:cstheme="minorHAnsi"/>
            <w:color w:val="auto"/>
            <w:sz w:val="20"/>
            <w:szCs w:val="20"/>
            <w:lang w:eastAsia="fr-FR"/>
          </w:rPr>
          <w:t>Décision</w:t>
        </w:r>
      </w:hyperlink>
      <w:r w:rsidRPr="004D1F90">
        <w:rPr>
          <w:rFonts w:ascii="Tenorite" w:eastAsia="Times New Roman" w:hAnsi="Tenorite" w:cstheme="minorHAnsi"/>
          <w:sz w:val="20"/>
          <w:szCs w:val="20"/>
          <w:lang w:eastAsia="fr-FR"/>
        </w:rPr>
        <w:t xml:space="preserve"> d’exécution (UE) 2025/858 de la Commission du 29 avril 2025 modifiant l’annexe de la décision d’exécution (UE) 2023/2447 concernant des mesures d’urgence motivées par l’apparition de foyers d’influenza aviaire hautement pathogène dans certains États membres (JOUE 05/05/2025)</w:t>
      </w:r>
    </w:p>
    <w:p w14:paraId="0CF60365" w14:textId="77777777" w:rsidR="00CD28C2" w:rsidRPr="004D1F90" w:rsidRDefault="00CD28C2" w:rsidP="00CD28C2">
      <w:pPr>
        <w:shd w:val="clear" w:color="auto" w:fill="FFFFFF"/>
        <w:spacing w:after="0" w:line="240" w:lineRule="auto"/>
        <w:ind w:left="142"/>
        <w:jc w:val="both"/>
        <w:rPr>
          <w:rFonts w:ascii="Tenorite" w:eastAsia="Times New Roman" w:hAnsi="Tenorite" w:cs="Times New Roman"/>
          <w:sz w:val="20"/>
          <w:szCs w:val="20"/>
          <w:lang w:eastAsia="fr-FR"/>
        </w:rPr>
      </w:pPr>
      <w:hyperlink r:id="rId57" w:history="1">
        <w:r w:rsidRPr="004D1F90">
          <w:rPr>
            <w:rStyle w:val="Lienhypertexte"/>
            <w:rFonts w:ascii="Tenorite" w:eastAsia="Times New Roman" w:hAnsi="Tenorite" w:cs="Times New Roman"/>
            <w:color w:val="auto"/>
            <w:sz w:val="20"/>
            <w:szCs w:val="20"/>
            <w:lang w:eastAsia="fr-FR"/>
          </w:rPr>
          <w:t>Décision</w:t>
        </w:r>
      </w:hyperlink>
      <w:r w:rsidRPr="004D1F90">
        <w:rPr>
          <w:rFonts w:ascii="Tenorite" w:eastAsia="Times New Roman" w:hAnsi="Tenorite" w:cs="Times New Roman"/>
          <w:sz w:val="20"/>
          <w:szCs w:val="20"/>
          <w:lang w:eastAsia="fr-FR"/>
        </w:rPr>
        <w:t xml:space="preserve"> d’exécution (UE) 2025/896 de la Commission du 12 mai 2025 modifiant l’annexe de la décision d’exécution (UE) 2023/2447 concernant des mesures d’urgence motivées par l’apparition de foyers d’influenza aviaire hautement pathogène dans certains États membres (JOUE 15/05/2025)</w:t>
      </w:r>
    </w:p>
    <w:p w14:paraId="6C6D7E01" w14:textId="77777777" w:rsidR="00CD28C2" w:rsidRPr="004D1F90" w:rsidRDefault="00CD28C2" w:rsidP="00CD28C2">
      <w:pPr>
        <w:shd w:val="clear" w:color="auto" w:fill="FFFFFF"/>
        <w:spacing w:after="0" w:line="240" w:lineRule="auto"/>
        <w:ind w:left="142"/>
        <w:jc w:val="both"/>
        <w:rPr>
          <w:rFonts w:ascii="Tenorite" w:eastAsia="Times New Roman" w:hAnsi="Tenorite" w:cs="Times New Roman"/>
          <w:sz w:val="20"/>
          <w:szCs w:val="20"/>
          <w:lang w:eastAsia="fr-FR"/>
        </w:rPr>
      </w:pPr>
    </w:p>
    <w:p w14:paraId="54ECE560" w14:textId="77777777" w:rsidR="00CD28C2" w:rsidRPr="004D1F90" w:rsidRDefault="00CD28C2" w:rsidP="00CD28C2">
      <w:pPr>
        <w:shd w:val="clear" w:color="auto" w:fill="FFFFFF"/>
        <w:spacing w:after="0" w:line="240" w:lineRule="auto"/>
        <w:ind w:left="142"/>
        <w:jc w:val="both"/>
        <w:rPr>
          <w:rFonts w:ascii="Tenorite" w:eastAsia="Times New Roman" w:hAnsi="Tenorite" w:cs="Times New Roman"/>
          <w:sz w:val="20"/>
          <w:szCs w:val="20"/>
          <w:lang w:eastAsia="fr-FR"/>
        </w:rPr>
      </w:pPr>
      <w:hyperlink r:id="rId58" w:history="1">
        <w:r w:rsidRPr="004D1F90">
          <w:rPr>
            <w:rStyle w:val="Lienhypertexte"/>
            <w:rFonts w:ascii="Tenorite" w:eastAsia="Times New Roman" w:hAnsi="Tenorite" w:cs="Times New Roman"/>
            <w:color w:val="auto"/>
            <w:sz w:val="20"/>
            <w:szCs w:val="20"/>
            <w:lang w:eastAsia="fr-FR"/>
          </w:rPr>
          <w:t>Décision</w:t>
        </w:r>
      </w:hyperlink>
      <w:r w:rsidRPr="004D1F90">
        <w:rPr>
          <w:rFonts w:ascii="Tenorite" w:eastAsia="Times New Roman" w:hAnsi="Tenorite" w:cs="Times New Roman"/>
          <w:sz w:val="20"/>
          <w:szCs w:val="20"/>
          <w:lang w:eastAsia="fr-FR"/>
        </w:rPr>
        <w:t xml:space="preserve"> d’exécution (UE) 2025/1089 de la Commission du 22 mai 2025 modifiant l’annexe de la décision d’exécution (UE) 2023/2447 concernant des mesures d’urgence motivées par l’apparition de foyers d’influenza aviaire hautement pathogène dans certains États membres (JOUE 27/05/2025)</w:t>
      </w:r>
    </w:p>
    <w:p w14:paraId="5AB6BD6D" w14:textId="77777777" w:rsidR="00CD28C2" w:rsidRPr="004D1F90" w:rsidRDefault="00CD28C2" w:rsidP="00CD28C2">
      <w:pPr>
        <w:shd w:val="clear" w:color="auto" w:fill="FFFFFF"/>
        <w:spacing w:after="0" w:line="240" w:lineRule="auto"/>
        <w:ind w:left="142"/>
        <w:jc w:val="both"/>
        <w:rPr>
          <w:rFonts w:ascii="Tenorite" w:eastAsia="Times New Roman" w:hAnsi="Tenorite" w:cs="Times New Roman"/>
          <w:sz w:val="20"/>
          <w:szCs w:val="20"/>
          <w:lang w:eastAsia="fr-FR"/>
        </w:rPr>
      </w:pPr>
    </w:p>
    <w:p w14:paraId="410D5504" w14:textId="77777777" w:rsidR="00CD28C2" w:rsidRPr="004D1F90" w:rsidRDefault="00CD28C2" w:rsidP="00CD28C2">
      <w:pPr>
        <w:shd w:val="clear" w:color="auto" w:fill="FFFFFF"/>
        <w:ind w:left="142"/>
        <w:jc w:val="both"/>
        <w:rPr>
          <w:rFonts w:ascii="Tenorite" w:eastAsia="Times New Roman" w:hAnsi="Tenorite" w:cstheme="minorHAnsi"/>
          <w:sz w:val="20"/>
          <w:szCs w:val="20"/>
          <w:lang w:eastAsia="fr-FR"/>
        </w:rPr>
      </w:pPr>
      <w:r w:rsidRPr="004D1F90">
        <w:rPr>
          <w:rFonts w:ascii="Tenorite" w:eastAsia="Times New Roman" w:hAnsi="Tenorite" w:cstheme="minorHAnsi"/>
          <w:b/>
          <w:bCs/>
          <w:sz w:val="20"/>
          <w:szCs w:val="20"/>
          <w:lang w:eastAsia="fr-FR"/>
        </w:rPr>
        <w:t>Instruction technique </w:t>
      </w:r>
      <w:hyperlink r:id="rId59" w:history="1">
        <w:r w:rsidRPr="004D1F90">
          <w:rPr>
            <w:rFonts w:ascii="Tenorite" w:eastAsia="Times New Roman" w:hAnsi="Tenorite" w:cstheme="minorHAnsi"/>
            <w:sz w:val="20"/>
            <w:szCs w:val="20"/>
            <w:u w:val="single"/>
            <w:lang w:eastAsia="fr-FR"/>
          </w:rPr>
          <w:t>DGAL/SDSBEA/2025-308</w:t>
        </w:r>
      </w:hyperlink>
      <w:r w:rsidRPr="004D1F90">
        <w:rPr>
          <w:rFonts w:ascii="Tenorite" w:eastAsia="Times New Roman" w:hAnsi="Tenorite" w:cstheme="minorHAnsi"/>
          <w:sz w:val="20"/>
          <w:szCs w:val="20"/>
          <w:lang w:eastAsia="fr-FR"/>
        </w:rPr>
        <w:t> du 16-05-2025 - Surveillance et gestion de la fièvre catarrhale ovine sur le territoire national (DGAL)</w:t>
      </w:r>
    </w:p>
    <w:p w14:paraId="41AD90CB" w14:textId="77777777" w:rsidR="00CD28C2" w:rsidRPr="004D1F90" w:rsidRDefault="00CD28C2" w:rsidP="00CD28C2">
      <w:pPr>
        <w:shd w:val="clear" w:color="auto" w:fill="FFFFFF"/>
        <w:ind w:left="142"/>
        <w:jc w:val="both"/>
        <w:rPr>
          <w:rFonts w:ascii="Tenorite" w:eastAsia="Times New Roman" w:hAnsi="Tenorite" w:cstheme="minorHAnsi"/>
          <w:sz w:val="20"/>
          <w:szCs w:val="20"/>
          <w:lang w:eastAsia="fr-FR"/>
        </w:rPr>
      </w:pPr>
      <w:r w:rsidRPr="004D1F90">
        <w:rPr>
          <w:rFonts w:ascii="Tenorite" w:eastAsia="Times New Roman" w:hAnsi="Tenorite" w:cstheme="minorHAnsi"/>
          <w:b/>
          <w:bCs/>
          <w:sz w:val="20"/>
          <w:szCs w:val="20"/>
          <w:lang w:eastAsia="fr-FR"/>
        </w:rPr>
        <w:t>Instruction technique </w:t>
      </w:r>
      <w:hyperlink r:id="rId60" w:history="1">
        <w:r w:rsidRPr="004D1F90">
          <w:rPr>
            <w:rFonts w:ascii="Tenorite" w:eastAsia="Times New Roman" w:hAnsi="Tenorite" w:cstheme="minorHAnsi"/>
            <w:sz w:val="20"/>
            <w:szCs w:val="20"/>
            <w:u w:val="single"/>
            <w:lang w:eastAsia="fr-FR"/>
          </w:rPr>
          <w:t>DGAL/SDSBEA/2025-357</w:t>
        </w:r>
      </w:hyperlink>
      <w:r w:rsidRPr="004D1F90">
        <w:rPr>
          <w:rFonts w:ascii="Tenorite" w:eastAsia="Times New Roman" w:hAnsi="Tenorite" w:cstheme="minorHAnsi"/>
          <w:sz w:val="20"/>
          <w:szCs w:val="20"/>
          <w:lang w:eastAsia="fr-FR"/>
        </w:rPr>
        <w:t> du 04-06-2025-FCO - conditions applicables aux mouvements des ruminants et aux mouvements de leurs produits germinaux (DGAL)</w:t>
      </w:r>
    </w:p>
    <w:p w14:paraId="0533F6B2" w14:textId="77777777" w:rsidR="00CD28C2" w:rsidRPr="004D1F90" w:rsidRDefault="00CD28C2" w:rsidP="00CD28C2">
      <w:pPr>
        <w:shd w:val="clear" w:color="auto" w:fill="FFFFFF"/>
        <w:ind w:left="142"/>
        <w:jc w:val="both"/>
        <w:rPr>
          <w:rFonts w:ascii="Tenorite" w:eastAsia="Times New Roman" w:hAnsi="Tenorite" w:cstheme="minorHAnsi"/>
          <w:sz w:val="20"/>
          <w:szCs w:val="20"/>
          <w:lang w:eastAsia="fr-FR"/>
        </w:rPr>
      </w:pPr>
      <w:hyperlink r:id="rId61" w:history="1">
        <w:r w:rsidRPr="004D1F90">
          <w:rPr>
            <w:rStyle w:val="Lienhypertexte"/>
            <w:rFonts w:ascii="Tenorite" w:eastAsia="Times New Roman" w:hAnsi="Tenorite" w:cstheme="minorHAnsi"/>
            <w:color w:val="auto"/>
            <w:sz w:val="20"/>
            <w:szCs w:val="20"/>
            <w:lang w:eastAsia="fr-FR"/>
          </w:rPr>
          <w:t>Règlement</w:t>
        </w:r>
      </w:hyperlink>
      <w:r w:rsidRPr="004D1F90">
        <w:rPr>
          <w:rFonts w:ascii="Tenorite" w:eastAsia="Times New Roman" w:hAnsi="Tenorite" w:cstheme="minorHAnsi"/>
          <w:sz w:val="20"/>
          <w:szCs w:val="20"/>
          <w:lang w:eastAsia="fr-FR"/>
        </w:rPr>
        <w:t xml:space="preserve"> d’exécution (UE) 2025/862 de la Commission du 30 avril 2025 modifiant l’annexe I du règlement d’exécution (UE) 2023/594 établissant des mesures spéciales de lutte contre la peste porcine africaine (JOUE 02/05/2025)</w:t>
      </w:r>
    </w:p>
    <w:p w14:paraId="01121207" w14:textId="77777777" w:rsidR="00CD28C2" w:rsidRPr="004D1F90" w:rsidRDefault="00CD28C2" w:rsidP="00CD28C2">
      <w:pPr>
        <w:shd w:val="clear" w:color="auto" w:fill="FFFFFF"/>
        <w:spacing w:after="0" w:line="240" w:lineRule="auto"/>
        <w:ind w:left="142"/>
        <w:jc w:val="both"/>
        <w:rPr>
          <w:rFonts w:ascii="Tenorite" w:eastAsia="Times New Roman" w:hAnsi="Tenorite" w:cstheme="minorHAnsi"/>
          <w:sz w:val="20"/>
          <w:szCs w:val="20"/>
          <w:lang w:eastAsia="fr-FR"/>
        </w:rPr>
      </w:pPr>
      <w:hyperlink r:id="rId62" w:history="1">
        <w:r w:rsidRPr="004D1F90">
          <w:rPr>
            <w:rStyle w:val="Lienhypertexte"/>
            <w:rFonts w:ascii="Tenorite" w:eastAsia="Times New Roman" w:hAnsi="Tenorite" w:cstheme="minorHAnsi"/>
            <w:color w:val="auto"/>
            <w:sz w:val="20"/>
            <w:szCs w:val="20"/>
            <w:lang w:eastAsia="fr-FR"/>
          </w:rPr>
          <w:t>Décision</w:t>
        </w:r>
      </w:hyperlink>
      <w:r w:rsidRPr="004D1F90">
        <w:rPr>
          <w:rFonts w:ascii="Tenorite" w:eastAsia="Times New Roman" w:hAnsi="Tenorite" w:cstheme="minorHAnsi"/>
          <w:sz w:val="20"/>
          <w:szCs w:val="20"/>
          <w:lang w:eastAsia="fr-FR"/>
        </w:rPr>
        <w:t xml:space="preserve"> d’exécution (UE) 2025/859 de la Commission du 30 avril 2025 modifiant la décision d’exécution (UE) 2024/2207 concernant certaines mesures d’urgence relatives à la clavelée et à la variole caprine en Grèce (JOUE 07/05/2025)</w:t>
      </w:r>
    </w:p>
    <w:p w14:paraId="17F1FD61" w14:textId="77777777" w:rsidR="00CD28C2" w:rsidRDefault="00CD28C2" w:rsidP="00CD28C2">
      <w:pPr>
        <w:shd w:val="clear" w:color="auto" w:fill="FFFFFF"/>
        <w:spacing w:after="0" w:line="240" w:lineRule="auto"/>
        <w:ind w:left="142"/>
        <w:jc w:val="both"/>
        <w:rPr>
          <w:rFonts w:ascii="Tenorite" w:eastAsia="Times New Roman" w:hAnsi="Tenorite" w:cstheme="minorHAnsi"/>
          <w:color w:val="636363"/>
          <w:sz w:val="20"/>
          <w:szCs w:val="20"/>
          <w:lang w:eastAsia="fr-FR"/>
        </w:rPr>
      </w:pPr>
    </w:p>
    <w:p w14:paraId="726E8379" w14:textId="2D4A56D5" w:rsidR="00CD28C2" w:rsidRPr="004D1F90" w:rsidRDefault="00CD28C2" w:rsidP="00CD28C2">
      <w:pPr>
        <w:shd w:val="clear" w:color="auto" w:fill="FFFFFF"/>
        <w:spacing w:after="0" w:line="240" w:lineRule="auto"/>
        <w:ind w:left="142"/>
        <w:jc w:val="both"/>
        <w:rPr>
          <w:rFonts w:ascii="Tenorite" w:eastAsia="Times New Roman" w:hAnsi="Tenorite" w:cs="Times New Roman"/>
          <w:sz w:val="20"/>
          <w:szCs w:val="20"/>
          <w:lang w:eastAsia="fr-FR"/>
        </w:rPr>
      </w:pPr>
      <w:hyperlink r:id="rId63" w:history="1">
        <w:r w:rsidRPr="004D1F90">
          <w:rPr>
            <w:rStyle w:val="Lienhypertexte"/>
            <w:rFonts w:ascii="Tenorite" w:eastAsia="Times New Roman" w:hAnsi="Tenorite" w:cs="Times New Roman"/>
            <w:color w:val="auto"/>
            <w:sz w:val="20"/>
            <w:szCs w:val="20"/>
            <w:lang w:eastAsia="fr-FR"/>
          </w:rPr>
          <w:t>Règlement</w:t>
        </w:r>
      </w:hyperlink>
      <w:r w:rsidRPr="004D1F90">
        <w:rPr>
          <w:rFonts w:ascii="Tenorite" w:eastAsia="Times New Roman" w:hAnsi="Tenorite" w:cs="Times New Roman"/>
          <w:sz w:val="20"/>
          <w:szCs w:val="20"/>
          <w:lang w:eastAsia="fr-FR"/>
        </w:rPr>
        <w:t xml:space="preserve"> d’exécution (UE) 2025/902 de la Commission du 12 mai 2025 modifiant l’annexe I du règlement d’exécution (UE) 2023/594 établissant des mesures spéciales de lutte contre la peste porcine africaine (JOUE 14/05/2025)</w:t>
      </w:r>
    </w:p>
    <w:p w14:paraId="36466485" w14:textId="77777777" w:rsidR="00CD28C2" w:rsidRPr="004D1F90" w:rsidRDefault="00CD28C2" w:rsidP="00CD28C2">
      <w:pPr>
        <w:shd w:val="clear" w:color="auto" w:fill="FFFFFF"/>
        <w:spacing w:after="0" w:line="240" w:lineRule="auto"/>
        <w:ind w:left="142"/>
        <w:jc w:val="both"/>
        <w:rPr>
          <w:rFonts w:ascii="Tenorite" w:eastAsia="Times New Roman" w:hAnsi="Tenorite" w:cs="Times New Roman"/>
          <w:sz w:val="20"/>
          <w:szCs w:val="20"/>
          <w:lang w:eastAsia="fr-FR"/>
        </w:rPr>
      </w:pPr>
    </w:p>
    <w:p w14:paraId="41AAC30D" w14:textId="77777777" w:rsidR="00CD28C2" w:rsidRPr="004D1F90" w:rsidRDefault="00CD28C2" w:rsidP="00CD28C2">
      <w:pPr>
        <w:shd w:val="clear" w:color="auto" w:fill="FFFFFF"/>
        <w:spacing w:after="0" w:line="240" w:lineRule="auto"/>
        <w:ind w:left="142"/>
        <w:jc w:val="both"/>
        <w:rPr>
          <w:rFonts w:ascii="Tenorite" w:eastAsia="Times New Roman" w:hAnsi="Tenorite" w:cs="Times New Roman"/>
          <w:sz w:val="20"/>
          <w:szCs w:val="20"/>
          <w:lang w:eastAsia="fr-FR"/>
        </w:rPr>
      </w:pPr>
      <w:hyperlink r:id="rId64" w:history="1">
        <w:r w:rsidRPr="004D1F90">
          <w:rPr>
            <w:rStyle w:val="Lienhypertexte"/>
            <w:rFonts w:ascii="Tenorite" w:eastAsia="Times New Roman" w:hAnsi="Tenorite" w:cs="Times New Roman"/>
            <w:color w:val="auto"/>
            <w:sz w:val="20"/>
            <w:szCs w:val="20"/>
            <w:lang w:eastAsia="fr-FR"/>
          </w:rPr>
          <w:t>Décision</w:t>
        </w:r>
      </w:hyperlink>
      <w:r w:rsidRPr="004D1F90">
        <w:rPr>
          <w:rFonts w:ascii="Tenorite" w:eastAsia="Times New Roman" w:hAnsi="Tenorite" w:cs="Times New Roman"/>
          <w:sz w:val="20"/>
          <w:szCs w:val="20"/>
          <w:lang w:eastAsia="fr-FR"/>
        </w:rPr>
        <w:t xml:space="preserve"> d’exécution (UE) 2025/909 de la Commission du 13 mai 2025 modifiant la décision d’exécution (UE) 2024/2207 concernant certaines mesures d’urgence relatives à la clavelée et à la variole caprine en Grèce (JOUE 16/05/2025)</w:t>
      </w:r>
    </w:p>
    <w:p w14:paraId="4671BA2E" w14:textId="77777777" w:rsidR="00CD28C2" w:rsidRPr="004D1F90" w:rsidRDefault="00CD28C2" w:rsidP="00CD28C2">
      <w:pPr>
        <w:shd w:val="clear" w:color="auto" w:fill="FFFFFF"/>
        <w:spacing w:after="0" w:line="240" w:lineRule="auto"/>
        <w:ind w:left="142"/>
        <w:jc w:val="both"/>
        <w:rPr>
          <w:rFonts w:ascii="Tenorite" w:eastAsia="Times New Roman" w:hAnsi="Tenorite" w:cs="Times New Roman"/>
          <w:sz w:val="20"/>
          <w:szCs w:val="20"/>
          <w:lang w:eastAsia="fr-FR"/>
        </w:rPr>
      </w:pPr>
    </w:p>
    <w:p w14:paraId="4F09A97B" w14:textId="77777777" w:rsidR="00CD28C2" w:rsidRPr="004D1F90" w:rsidRDefault="00CD28C2" w:rsidP="00CD28C2">
      <w:pPr>
        <w:shd w:val="clear" w:color="auto" w:fill="FFFFFF"/>
        <w:spacing w:after="0" w:line="240" w:lineRule="auto"/>
        <w:ind w:left="142"/>
        <w:jc w:val="both"/>
        <w:rPr>
          <w:rFonts w:ascii="Tenorite" w:eastAsia="Times New Roman" w:hAnsi="Tenorite" w:cs="Times New Roman"/>
          <w:sz w:val="20"/>
          <w:szCs w:val="20"/>
          <w:lang w:eastAsia="fr-FR"/>
        </w:rPr>
      </w:pPr>
      <w:hyperlink r:id="rId65" w:history="1">
        <w:r w:rsidRPr="004D1F90">
          <w:rPr>
            <w:rStyle w:val="Lienhypertexte"/>
            <w:rFonts w:ascii="Tenorite" w:eastAsia="Times New Roman" w:hAnsi="Tenorite" w:cs="Times New Roman"/>
            <w:color w:val="auto"/>
            <w:sz w:val="20"/>
            <w:szCs w:val="20"/>
            <w:lang w:eastAsia="fr-FR"/>
          </w:rPr>
          <w:t>Règlement</w:t>
        </w:r>
      </w:hyperlink>
      <w:r w:rsidRPr="004D1F90">
        <w:rPr>
          <w:rFonts w:ascii="Tenorite" w:eastAsia="Times New Roman" w:hAnsi="Tenorite" w:cs="Times New Roman"/>
          <w:sz w:val="20"/>
          <w:szCs w:val="20"/>
          <w:lang w:eastAsia="fr-FR"/>
        </w:rPr>
        <w:t xml:space="preserve"> d’exécution (UE) 2025/1072 de la Commission du 22 mai 2025 modifiant l’annexe I du règlement d’exécution (UE) 2023/594 établissant des mesures spéciales de lutte contre la peste porcine africaine (JOUE 23/05/2025)</w:t>
      </w:r>
    </w:p>
    <w:p w14:paraId="69BD72CD" w14:textId="77777777" w:rsidR="00CD28C2" w:rsidRPr="004D1F90" w:rsidRDefault="00CD28C2" w:rsidP="00CD28C2">
      <w:pPr>
        <w:shd w:val="clear" w:color="auto" w:fill="FFFFFF"/>
        <w:spacing w:after="0" w:line="240" w:lineRule="auto"/>
        <w:ind w:left="142"/>
        <w:jc w:val="both"/>
        <w:rPr>
          <w:rFonts w:ascii="Tenorite" w:eastAsia="Times New Roman" w:hAnsi="Tenorite" w:cs="Times New Roman"/>
          <w:sz w:val="20"/>
          <w:szCs w:val="20"/>
          <w:lang w:eastAsia="fr-FR"/>
        </w:rPr>
      </w:pPr>
    </w:p>
    <w:p w14:paraId="6251F64C" w14:textId="77777777" w:rsidR="00CD28C2" w:rsidRPr="004D1F90" w:rsidRDefault="00CD28C2" w:rsidP="00CD28C2">
      <w:pPr>
        <w:shd w:val="clear" w:color="auto" w:fill="FFFFFF"/>
        <w:spacing w:after="0" w:line="240" w:lineRule="auto"/>
        <w:ind w:left="142"/>
        <w:jc w:val="both"/>
        <w:rPr>
          <w:rFonts w:ascii="Tenorite" w:hAnsi="Tenorite"/>
          <w:sz w:val="20"/>
          <w:szCs w:val="20"/>
        </w:rPr>
      </w:pPr>
      <w:hyperlink r:id="rId66" w:history="1">
        <w:r w:rsidRPr="004D1F90">
          <w:rPr>
            <w:rStyle w:val="Lienhypertexte"/>
            <w:rFonts w:ascii="Tenorite" w:eastAsia="Times New Roman" w:hAnsi="Tenorite" w:cs="Times New Roman"/>
            <w:color w:val="auto"/>
            <w:sz w:val="20"/>
            <w:szCs w:val="20"/>
            <w:lang w:eastAsia="fr-FR"/>
          </w:rPr>
          <w:t>Décision</w:t>
        </w:r>
      </w:hyperlink>
      <w:r w:rsidRPr="004D1F90">
        <w:rPr>
          <w:rFonts w:ascii="Tenorite" w:eastAsia="Times New Roman" w:hAnsi="Tenorite" w:cs="Times New Roman"/>
          <w:sz w:val="20"/>
          <w:szCs w:val="20"/>
          <w:lang w:eastAsia="fr-FR"/>
        </w:rPr>
        <w:t xml:space="preserve"> d’exécution (UE) 2025/1097 de la Commission du 23 mai 2025 modifiant l’annexe de la décision d’exécution (UE) 2025/672 concernant certaines mesures d’urgence relatives à l’apparition de foyers de fièvre aphteuse en Hongrie et en Slovaquie (JOUE 27/05/2025)</w:t>
      </w:r>
    </w:p>
    <w:p w14:paraId="7D62AD6E" w14:textId="77777777" w:rsidR="00CD28C2" w:rsidRPr="004D1F90" w:rsidRDefault="00CD28C2" w:rsidP="00CD28C2">
      <w:pPr>
        <w:shd w:val="clear" w:color="auto" w:fill="FFFFFF"/>
        <w:spacing w:after="0" w:line="240" w:lineRule="auto"/>
        <w:ind w:left="142"/>
        <w:jc w:val="both"/>
        <w:rPr>
          <w:rFonts w:ascii="Tenorite" w:hAnsi="Tenorite"/>
          <w:sz w:val="20"/>
          <w:szCs w:val="20"/>
        </w:rPr>
      </w:pPr>
    </w:p>
    <w:p w14:paraId="4DA43D69" w14:textId="77777777" w:rsidR="00CD28C2" w:rsidRPr="004D1F90" w:rsidRDefault="00CD28C2" w:rsidP="00CD28C2">
      <w:pPr>
        <w:shd w:val="clear" w:color="auto" w:fill="FFFFFF"/>
        <w:spacing w:after="0" w:line="240" w:lineRule="auto"/>
        <w:ind w:left="142"/>
        <w:jc w:val="both"/>
        <w:rPr>
          <w:rFonts w:ascii="Tenorite" w:eastAsia="Times New Roman" w:hAnsi="Tenorite" w:cs="Times New Roman"/>
          <w:sz w:val="20"/>
          <w:szCs w:val="20"/>
          <w:lang w:eastAsia="fr-FR"/>
        </w:rPr>
      </w:pPr>
      <w:hyperlink r:id="rId67" w:history="1">
        <w:r w:rsidRPr="004D1F90">
          <w:rPr>
            <w:rStyle w:val="Lienhypertexte"/>
            <w:rFonts w:ascii="Tenorite" w:eastAsia="Times New Roman" w:hAnsi="Tenorite" w:cs="Times New Roman"/>
            <w:color w:val="auto"/>
            <w:sz w:val="20"/>
            <w:szCs w:val="20"/>
            <w:lang w:eastAsia="fr-FR"/>
          </w:rPr>
          <w:t>Décision</w:t>
        </w:r>
      </w:hyperlink>
      <w:r w:rsidRPr="004D1F90">
        <w:rPr>
          <w:rFonts w:ascii="Tenorite" w:eastAsia="Times New Roman" w:hAnsi="Tenorite" w:cs="Times New Roman"/>
          <w:sz w:val="20"/>
          <w:szCs w:val="20"/>
          <w:lang w:eastAsia="fr-FR"/>
        </w:rPr>
        <w:t xml:space="preserve"> d’exécution (UE) 2025/1083 de la Commission du 22 mai 2025 modifiant la décision d’exécution (UE) 2024/2207 concernant certaines mesures d’urgence relatives à la clavelée et à la variole caprine en Grèce (JOUE 28/05/2025)</w:t>
      </w:r>
    </w:p>
    <w:p w14:paraId="7BDB9A31" w14:textId="77777777" w:rsidR="00CD28C2" w:rsidRPr="004D1F90" w:rsidRDefault="00CD28C2" w:rsidP="00CD28C2">
      <w:pPr>
        <w:shd w:val="clear" w:color="auto" w:fill="FFFFFF"/>
        <w:spacing w:after="0" w:line="240" w:lineRule="auto"/>
        <w:ind w:left="142"/>
        <w:jc w:val="both"/>
        <w:rPr>
          <w:rFonts w:ascii="Tenorite" w:eastAsia="Times New Roman" w:hAnsi="Tenorite" w:cs="Times New Roman"/>
          <w:sz w:val="20"/>
          <w:szCs w:val="20"/>
          <w:lang w:eastAsia="fr-FR"/>
        </w:rPr>
      </w:pPr>
    </w:p>
    <w:p w14:paraId="30D4C714" w14:textId="77777777" w:rsidR="00CD28C2" w:rsidRPr="004D1F90" w:rsidRDefault="00CD28C2" w:rsidP="00CD28C2">
      <w:pPr>
        <w:shd w:val="clear" w:color="auto" w:fill="FFFFFF"/>
        <w:spacing w:after="0" w:line="240" w:lineRule="auto"/>
        <w:ind w:left="142"/>
        <w:jc w:val="both"/>
        <w:rPr>
          <w:rFonts w:ascii="Tenorite" w:eastAsia="Times New Roman" w:hAnsi="Tenorite" w:cs="Times New Roman"/>
          <w:sz w:val="20"/>
          <w:szCs w:val="20"/>
          <w:lang w:eastAsia="fr-FR"/>
        </w:rPr>
      </w:pPr>
      <w:hyperlink r:id="rId68" w:history="1">
        <w:r w:rsidRPr="004D1F90">
          <w:rPr>
            <w:rStyle w:val="Lienhypertexte"/>
            <w:rFonts w:ascii="Tenorite" w:eastAsia="Times New Roman" w:hAnsi="Tenorite" w:cs="Times New Roman"/>
            <w:color w:val="auto"/>
            <w:sz w:val="20"/>
            <w:szCs w:val="20"/>
            <w:lang w:eastAsia="fr-FR"/>
          </w:rPr>
          <w:t>Décision</w:t>
        </w:r>
      </w:hyperlink>
      <w:r w:rsidRPr="004D1F90">
        <w:rPr>
          <w:rFonts w:ascii="Tenorite" w:eastAsia="Times New Roman" w:hAnsi="Tenorite" w:cs="Times New Roman"/>
          <w:sz w:val="20"/>
          <w:szCs w:val="20"/>
          <w:lang w:eastAsia="fr-FR"/>
        </w:rPr>
        <w:t xml:space="preserve"> d’exécution (UE) 2025/1109 de la Commission du 26 mai 2025 modifiant la décision d’exécution (UE) 2025/638 concernant certaines mesures d’urgence relatives à l’infection par le virus de la peste des petits ruminants en Roumanie (JOUE 28/05/2025)</w:t>
      </w:r>
    </w:p>
    <w:p w14:paraId="55BD880B" w14:textId="77777777" w:rsidR="00D871A1" w:rsidRPr="00DB3853" w:rsidRDefault="00D871A1" w:rsidP="00D871A1">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71AB1618" w14:textId="3935E5A4" w:rsidR="00D025D4" w:rsidRPr="005F3EA3" w:rsidRDefault="00D025D4" w:rsidP="00D871A1">
      <w:pPr>
        <w:ind w:left="142"/>
        <w:rPr>
          <w:rFonts w:ascii="Tenorite" w:hAnsi="Tenorite"/>
          <w:color w:val="C45911" w:themeColor="accent2" w:themeShade="BF"/>
          <w:sz w:val="20"/>
          <w:szCs w:val="18"/>
        </w:rPr>
      </w:pPr>
      <w:r w:rsidRPr="005F3EA3">
        <w:rPr>
          <w:rFonts w:ascii="Tenorite" w:hAnsi="Tenorite"/>
          <w:color w:val="C45911" w:themeColor="accent2" w:themeShade="BF"/>
          <w:sz w:val="20"/>
          <w:szCs w:val="18"/>
        </w:rPr>
        <w:t>Produits à base de viande</w:t>
      </w:r>
    </w:p>
    <w:p w14:paraId="4B7B7C52" w14:textId="65049993" w:rsidR="00D025D4" w:rsidRDefault="00D025D4" w:rsidP="00D025D4">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Sécurité sanitaire</w:t>
      </w:r>
    </w:p>
    <w:p w14:paraId="2609D0C7" w14:textId="77777777" w:rsidR="00141A61" w:rsidRDefault="00141A61" w:rsidP="00D025D4">
      <w:pPr>
        <w:ind w:left="426" w:hanging="283"/>
        <w:rPr>
          <w:rFonts w:ascii="Tenorite" w:hAnsi="Tenorite"/>
          <w:color w:val="C45911" w:themeColor="accent2" w:themeShade="BF"/>
          <w:sz w:val="20"/>
          <w:szCs w:val="18"/>
        </w:rPr>
      </w:pPr>
    </w:p>
    <w:sectPr w:rsidR="00141A61" w:rsidSect="000C0DEF">
      <w:headerReference w:type="even" r:id="rId69"/>
      <w:headerReference w:type="default" r:id="rId70"/>
      <w:footerReference w:type="default" r:id="rId71"/>
      <w:headerReference w:type="first" r:id="rId72"/>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5A6D4" w14:textId="77777777" w:rsidR="002218E5" w:rsidRDefault="002218E5" w:rsidP="000C0DEF">
      <w:pPr>
        <w:spacing w:after="0" w:line="240" w:lineRule="auto"/>
      </w:pPr>
      <w:r>
        <w:separator/>
      </w:r>
    </w:p>
  </w:endnote>
  <w:endnote w:type="continuationSeparator" w:id="0">
    <w:p w14:paraId="61645F3B" w14:textId="77777777" w:rsidR="002218E5" w:rsidRDefault="002218E5"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enorite">
    <w:charset w:val="00"/>
    <w:family w:val="auto"/>
    <w:pitch w:val="variable"/>
    <w:sig w:usb0="80000003" w:usb1="00000001"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imianText-Orangutan">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enorite" w:hAnsi="Tenorite"/>
        <w:sz w:val="20"/>
        <w:szCs w:val="20"/>
      </w:rPr>
      <w:id w:val="270144275"/>
      <w:docPartObj>
        <w:docPartGallery w:val="Page Numbers (Bottom of Page)"/>
        <w:docPartUnique/>
      </w:docPartObj>
    </w:sdtPr>
    <w:sdtEndPr/>
    <w:sdtContent>
      <w:p w14:paraId="4E563226" w14:textId="3559D084" w:rsidR="000C0DEF" w:rsidRPr="0088109F" w:rsidRDefault="0088109F" w:rsidP="000D6DC6">
        <w:pPr>
          <w:pStyle w:val="Pieddepage"/>
          <w:ind w:right="141"/>
          <w:jc w:val="center"/>
          <w:rPr>
            <w:rFonts w:ascii="Tenorite" w:hAnsi="Tenorite"/>
            <w:sz w:val="20"/>
            <w:szCs w:val="20"/>
          </w:rPr>
        </w:pPr>
        <w:r w:rsidRPr="0088109F">
          <w:rPr>
            <w:rFonts w:ascii="Tenorite" w:hAnsi="Tenorite"/>
            <w:sz w:val="20"/>
            <w:szCs w:val="20"/>
          </w:rPr>
          <w:t xml:space="preserve">Page </w:t>
        </w:r>
        <w:r w:rsidRPr="0088109F">
          <w:rPr>
            <w:rFonts w:ascii="Tenorite" w:hAnsi="Tenorite"/>
            <w:b/>
            <w:bCs/>
            <w:sz w:val="20"/>
            <w:szCs w:val="20"/>
          </w:rPr>
          <w:fldChar w:fldCharType="begin"/>
        </w:r>
        <w:r w:rsidRPr="0088109F">
          <w:rPr>
            <w:rFonts w:ascii="Tenorite" w:hAnsi="Tenorite"/>
            <w:b/>
            <w:bCs/>
            <w:sz w:val="20"/>
            <w:szCs w:val="20"/>
          </w:rPr>
          <w:instrText>PAGE  \* Arabic  \* MERGEFORMAT</w:instrText>
        </w:r>
        <w:r w:rsidRPr="0088109F">
          <w:rPr>
            <w:rFonts w:ascii="Tenorite" w:hAnsi="Tenorite"/>
            <w:b/>
            <w:bCs/>
            <w:sz w:val="20"/>
            <w:szCs w:val="20"/>
          </w:rPr>
          <w:fldChar w:fldCharType="separate"/>
        </w:r>
        <w:r w:rsidRPr="0088109F">
          <w:rPr>
            <w:rFonts w:ascii="Tenorite" w:hAnsi="Tenorite"/>
            <w:b/>
            <w:bCs/>
            <w:sz w:val="20"/>
            <w:szCs w:val="20"/>
          </w:rPr>
          <w:t>1</w:t>
        </w:r>
        <w:r w:rsidRPr="0088109F">
          <w:rPr>
            <w:rFonts w:ascii="Tenorite" w:hAnsi="Tenorite"/>
            <w:b/>
            <w:bCs/>
            <w:sz w:val="20"/>
            <w:szCs w:val="20"/>
          </w:rPr>
          <w:fldChar w:fldCharType="end"/>
        </w:r>
        <w:r w:rsidRPr="0088109F">
          <w:rPr>
            <w:rFonts w:ascii="Tenorite" w:hAnsi="Tenorite"/>
            <w:sz w:val="20"/>
            <w:szCs w:val="20"/>
          </w:rPr>
          <w:t xml:space="preserve"> sur </w:t>
        </w:r>
        <w:r w:rsidRPr="0088109F">
          <w:rPr>
            <w:rFonts w:ascii="Tenorite" w:hAnsi="Tenorite"/>
            <w:b/>
            <w:bCs/>
            <w:sz w:val="20"/>
            <w:szCs w:val="20"/>
          </w:rPr>
          <w:fldChar w:fldCharType="begin"/>
        </w:r>
        <w:r w:rsidRPr="0088109F">
          <w:rPr>
            <w:rFonts w:ascii="Tenorite" w:hAnsi="Tenorite"/>
            <w:b/>
            <w:bCs/>
            <w:sz w:val="20"/>
            <w:szCs w:val="20"/>
          </w:rPr>
          <w:instrText>NUMPAGES  \* Arabic  \* MERGEFORMAT</w:instrText>
        </w:r>
        <w:r w:rsidRPr="0088109F">
          <w:rPr>
            <w:rFonts w:ascii="Tenorite" w:hAnsi="Tenorite"/>
            <w:b/>
            <w:bCs/>
            <w:sz w:val="20"/>
            <w:szCs w:val="20"/>
          </w:rPr>
          <w:fldChar w:fldCharType="separate"/>
        </w:r>
        <w:r w:rsidRPr="0088109F">
          <w:rPr>
            <w:rFonts w:ascii="Tenorite" w:hAnsi="Tenorite"/>
            <w:b/>
            <w:bCs/>
            <w:sz w:val="20"/>
            <w:szCs w:val="20"/>
          </w:rPr>
          <w:t>2</w:t>
        </w:r>
        <w:r w:rsidRPr="0088109F">
          <w:rPr>
            <w:rFonts w:ascii="Tenorite" w:hAnsi="Tenorite"/>
            <w:b/>
            <w:bCs/>
            <w:sz w:val="20"/>
            <w:szCs w:val="20"/>
          </w:rPr>
          <w:fldChar w:fldCharType="end"/>
        </w:r>
      </w:p>
    </w:sdtContent>
  </w:sdt>
  <w:p w14:paraId="5BCEC587" w14:textId="0E874D6C" w:rsidR="000C0DEF" w:rsidRDefault="000C0DEF" w:rsidP="000C0DEF">
    <w:pPr>
      <w:pStyle w:val="Pieddepage"/>
      <w:tabs>
        <w:tab w:val="clear" w:pos="4536"/>
        <w:tab w:val="clear" w:pos="9072"/>
        <w:tab w:val="left" w:pos="3210"/>
      </w:tabs>
      <w:ind w:right="1133"/>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A4807F" w14:textId="77777777" w:rsidR="002218E5" w:rsidRDefault="002218E5" w:rsidP="000C0DEF">
      <w:pPr>
        <w:spacing w:after="0" w:line="240" w:lineRule="auto"/>
      </w:pPr>
      <w:r>
        <w:separator/>
      </w:r>
    </w:p>
  </w:footnote>
  <w:footnote w:type="continuationSeparator" w:id="0">
    <w:p w14:paraId="085D4D75" w14:textId="77777777" w:rsidR="002218E5" w:rsidRDefault="002218E5"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5FE77" w14:textId="77777777" w:rsidR="000C0DEF" w:rsidRDefault="0063355D">
    <w:pPr>
      <w:pStyle w:val="En-tte"/>
    </w:pPr>
    <w:r>
      <w:rPr>
        <w:noProof/>
        <w:lang w:eastAsia="fr-FR"/>
      </w:rPr>
      <w:pict w14:anchorId="78F4B2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1032"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77297" w14:textId="57B52F9C" w:rsidR="000C0DEF" w:rsidRPr="000C0DEF" w:rsidRDefault="000D6DC6" w:rsidP="005F3EA3">
    <w:pPr>
      <w:pStyle w:val="En-tte"/>
    </w:pPr>
    <w:r>
      <w:rPr>
        <w:rFonts w:ascii="Verdana" w:eastAsia="Times New Roman" w:hAnsi="Verdana" w:cs="Times New Roman"/>
        <w:noProof/>
        <w:sz w:val="20"/>
        <w:szCs w:val="20"/>
        <w:lang w:eastAsia="fr-FR"/>
      </w:rPr>
      <w:drawing>
        <wp:anchor distT="0" distB="0" distL="114300" distR="114300" simplePos="0" relativeHeight="251669504" behindDoc="0" locked="0" layoutInCell="1" allowOverlap="1" wp14:anchorId="5CF0597F" wp14:editId="0BA65793">
          <wp:simplePos x="0" y="0"/>
          <wp:positionH relativeFrom="margin">
            <wp:posOffset>0</wp:posOffset>
          </wp:positionH>
          <wp:positionV relativeFrom="paragraph">
            <wp:posOffset>-635</wp:posOffset>
          </wp:positionV>
          <wp:extent cx="518287" cy="633039"/>
          <wp:effectExtent l="0" t="0" r="0" b="0"/>
          <wp:wrapNone/>
          <wp:docPr id="2006680919" name="Image 2006680919"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Police, Graphique, logo&#10;&#10;Description générée automatiquement"/>
                  <pic:cNvPicPr/>
                </pic:nvPicPr>
                <pic:blipFill>
                  <a:blip r:embed="rId1" cstate="print">
                    <a:extLst>
                      <a:ext uri="{28A0092B-C50C-407E-A947-70E740481C1C}">
                        <a14:useLocalDpi xmlns:a14="http://schemas.microsoft.com/office/drawing/2010/main" val="0"/>
                      </a:ext>
                    </a:extLst>
                  </a:blip>
                  <a:stretch>
                    <a:fillRect/>
                  </a:stretch>
                </pic:blipFill>
                <pic:spPr>
                  <a:xfrm>
                    <a:off x="0" y="0"/>
                    <a:ext cx="518287" cy="633039"/>
                  </a:xfrm>
                  <a:prstGeom prst="rect">
                    <a:avLst/>
                  </a:prstGeom>
                </pic:spPr>
              </pic:pic>
            </a:graphicData>
          </a:graphic>
          <wp14:sizeRelH relativeFrom="page">
            <wp14:pctWidth>0</wp14:pctWidth>
          </wp14:sizeRelH>
          <wp14:sizeRelV relativeFrom="page">
            <wp14:pctHeight>0</wp14:pctHeight>
          </wp14:sizeRelV>
        </wp:anchor>
      </w:drawing>
    </w:r>
    <w:r w:rsidR="0063355D">
      <w:rPr>
        <w:noProof/>
        <w:lang w:eastAsia="fr-FR"/>
      </w:rPr>
      <w:pict w14:anchorId="5E80F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1033" type="#_x0000_t75" style="position:absolute;margin-left:0;margin-top:0;width:559.55pt;height:387.35pt;z-index:-251649024;mso-position-horizontal:center;mso-position-horizontal-relative:margin;mso-position-vertical:center;mso-position-vertical-relative:margin" o:allowincell="f">
          <v:imagedata r:id="rId2" o:title="filigramme sourire FIP"/>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6AD3F" w14:textId="77777777" w:rsidR="000C0DEF" w:rsidRDefault="0063355D">
    <w:pPr>
      <w:pStyle w:val="En-tte"/>
    </w:pPr>
    <w:r>
      <w:rPr>
        <w:noProof/>
        <w:lang w:eastAsia="fr-FR"/>
      </w:rPr>
      <w:pict w14:anchorId="0C674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1031"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DEF"/>
    <w:rsid w:val="000C0DEF"/>
    <w:rsid w:val="000D6DC6"/>
    <w:rsid w:val="0012180A"/>
    <w:rsid w:val="0013368A"/>
    <w:rsid w:val="00141A61"/>
    <w:rsid w:val="00186CB2"/>
    <w:rsid w:val="001B42BB"/>
    <w:rsid w:val="001E6F9B"/>
    <w:rsid w:val="002218E5"/>
    <w:rsid w:val="002B7CB6"/>
    <w:rsid w:val="002D342B"/>
    <w:rsid w:val="002F17D1"/>
    <w:rsid w:val="003237C3"/>
    <w:rsid w:val="00464CEE"/>
    <w:rsid w:val="00480C9D"/>
    <w:rsid w:val="004A7DF8"/>
    <w:rsid w:val="004C2158"/>
    <w:rsid w:val="004D1F90"/>
    <w:rsid w:val="005E241B"/>
    <w:rsid w:val="005E5C2C"/>
    <w:rsid w:val="005F3EA3"/>
    <w:rsid w:val="005F79C3"/>
    <w:rsid w:val="0063355D"/>
    <w:rsid w:val="00767DBA"/>
    <w:rsid w:val="007934B9"/>
    <w:rsid w:val="00843D84"/>
    <w:rsid w:val="0088109F"/>
    <w:rsid w:val="008B7919"/>
    <w:rsid w:val="00901715"/>
    <w:rsid w:val="00930E35"/>
    <w:rsid w:val="00980424"/>
    <w:rsid w:val="00A711DE"/>
    <w:rsid w:val="00B143F8"/>
    <w:rsid w:val="00B659D9"/>
    <w:rsid w:val="00B827F3"/>
    <w:rsid w:val="00BF1263"/>
    <w:rsid w:val="00BF7342"/>
    <w:rsid w:val="00C2622D"/>
    <w:rsid w:val="00CD28C2"/>
    <w:rsid w:val="00CE1130"/>
    <w:rsid w:val="00D025D4"/>
    <w:rsid w:val="00D160F0"/>
    <w:rsid w:val="00D64E70"/>
    <w:rsid w:val="00D871A1"/>
    <w:rsid w:val="00DF6BB8"/>
    <w:rsid w:val="00E3404E"/>
    <w:rsid w:val="00E464D9"/>
    <w:rsid w:val="00F72A5C"/>
    <w:rsid w:val="00FB67EF"/>
    <w:rsid w:val="00FB718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EED49"/>
  <w15:chartTrackingRefBased/>
  <w15:docId w15:val="{2ED18064-B024-4767-9D3D-DD0107E5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B659D9"/>
    <w:rPr>
      <w:strike w:val="0"/>
      <w:dstrike w:val="0"/>
      <w:color w:val="0000FF"/>
      <w:u w:val="none"/>
      <w:effect w:val="none"/>
    </w:rPr>
  </w:style>
  <w:style w:type="paragraph" w:styleId="Textebrut">
    <w:name w:val="Plain Text"/>
    <w:basedOn w:val="Normal"/>
    <w:link w:val="TextebrutCar"/>
    <w:uiPriority w:val="99"/>
    <w:unhideWhenUsed/>
    <w:rsid w:val="00843D84"/>
    <w:pPr>
      <w:spacing w:after="0" w:line="240" w:lineRule="auto"/>
    </w:pPr>
    <w:rPr>
      <w:rFonts w:ascii="Calibri" w:hAnsi="Calibri"/>
      <w:szCs w:val="21"/>
    </w:rPr>
  </w:style>
  <w:style w:type="character" w:customStyle="1" w:styleId="TextebrutCar">
    <w:name w:val="Texte brut Car"/>
    <w:basedOn w:val="Policepardfaut"/>
    <w:link w:val="Textebrut"/>
    <w:uiPriority w:val="99"/>
    <w:rsid w:val="00843D84"/>
    <w:rPr>
      <w:rFonts w:ascii="Calibri" w:hAnsi="Calibri"/>
      <w:szCs w:val="21"/>
    </w:rPr>
  </w:style>
  <w:style w:type="character" w:styleId="Lienhypertextesuivivisit">
    <w:name w:val="FollowedHyperlink"/>
    <w:basedOn w:val="Policepardfaut"/>
    <w:uiPriority w:val="99"/>
    <w:semiHidden/>
    <w:unhideWhenUsed/>
    <w:rsid w:val="00CD28C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ur-lex.europa.eu/legal-content/FR/TXT/PDF/?uri=OJ:L_202500947" TargetMode="External"/><Relationship Id="rId21" Type="http://schemas.openxmlformats.org/officeDocument/2006/relationships/hyperlink" Target="https://eur-lex.europa.eu/legal-content/FR/TXT/PDF/?uri=OJ:L_202500937" TargetMode="External"/><Relationship Id="rId42" Type="http://schemas.openxmlformats.org/officeDocument/2006/relationships/hyperlink" Target="https://knowledge4policy.ec.europa.eu/food-fraud-quality/monthly-food-fraud-summary-reports/publication/food-fraud-summary-march-2025" TargetMode="External"/><Relationship Id="rId47" Type="http://schemas.openxmlformats.org/officeDocument/2006/relationships/hyperlink" Target="https://eur-lex.europa.eu/legal-content/FR/TXT/PDF/?uri=OJ:L_202500973" TargetMode="External"/><Relationship Id="rId63" Type="http://schemas.openxmlformats.org/officeDocument/2006/relationships/hyperlink" Target="https://eur-lex.europa.eu/legal-content/FR/TXT/PDF/?uri=OJ:L_202500902" TargetMode="External"/><Relationship Id="rId68" Type="http://schemas.openxmlformats.org/officeDocument/2006/relationships/hyperlink" Target="https://eur-lex.europa.eu/legal-content/FR/TXT/PDF/?uri=OJ:L_202501109" TargetMode="External"/><Relationship Id="rId2" Type="http://schemas.openxmlformats.org/officeDocument/2006/relationships/styles" Target="styles.xml"/><Relationship Id="rId16" Type="http://schemas.openxmlformats.org/officeDocument/2006/relationships/hyperlink" Target="https://eur-lex.europa.eu/legal-content/FR/TXT/PDF/?uri=OJ:L_202500845" TargetMode="External"/><Relationship Id="rId29" Type="http://schemas.openxmlformats.org/officeDocument/2006/relationships/hyperlink" Target="https://eur-lex.europa.eu/legal-content/FR/TXT/PDF/?uri=OJ:L_202500970" TargetMode="External"/><Relationship Id="rId11" Type="http://schemas.openxmlformats.org/officeDocument/2006/relationships/hyperlink" Target="https://eur-lex.europa.eu/legal-content/FR/TXT/PDF/?uri=OJ:L_202500808" TargetMode="External"/><Relationship Id="rId24" Type="http://schemas.openxmlformats.org/officeDocument/2006/relationships/hyperlink" Target="https://eur-lex.europa.eu/legal-content/FR/TXT/PDF/?uri=OJ:L_202500945" TargetMode="External"/><Relationship Id="rId32" Type="http://schemas.openxmlformats.org/officeDocument/2006/relationships/hyperlink" Target="https://eur-lex.europa.eu/legal-content/FR/TXT/PDF/?uri=OJ:L_202500949" TargetMode="External"/><Relationship Id="rId37" Type="http://schemas.openxmlformats.org/officeDocument/2006/relationships/hyperlink" Target="https://eur-lex.europa.eu/legal-content/FR/TXT/PDF/?uri=OJ:L_202500854" TargetMode="External"/><Relationship Id="rId40" Type="http://schemas.openxmlformats.org/officeDocument/2006/relationships/hyperlink" Target="https://www.plateforme-sca.fr/ndeg134-28-mai-2025" TargetMode="External"/><Relationship Id="rId45" Type="http://schemas.openxmlformats.org/officeDocument/2006/relationships/hyperlink" Target="https://eur-lex.europa.eu/legal-content/FR/TXT/PDF/?uri=OJ:L_202500882" TargetMode="External"/><Relationship Id="rId53" Type="http://schemas.openxmlformats.org/officeDocument/2006/relationships/hyperlink" Target="https://eur-lex.europa.eu/legal-content/FR/TXT/PDF/?uri=OJ:L_202501020" TargetMode="External"/><Relationship Id="rId58" Type="http://schemas.openxmlformats.org/officeDocument/2006/relationships/hyperlink" Target="https://eur-lex.europa.eu/legal-content/FR/TXT/PDF/?uri=OJ:L_202501089" TargetMode="External"/><Relationship Id="rId66" Type="http://schemas.openxmlformats.org/officeDocument/2006/relationships/hyperlink" Target="https://eur-lex.europa.eu/legal-content/FR/TXT/PDF/?uri=OJ:L_202501097" TargetMode="External"/><Relationship Id="rId74"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https://eur-lex.europa.eu/legal-content/FR/TXT/PDF/?uri=OJ:L_202500862" TargetMode="External"/><Relationship Id="rId19" Type="http://schemas.openxmlformats.org/officeDocument/2006/relationships/hyperlink" Target="https://eur-lex.europa.eu/legal-content/FR/TXT/PDF/?uri=OJ:L_202500929" TargetMode="External"/><Relationship Id="rId14" Type="http://schemas.openxmlformats.org/officeDocument/2006/relationships/hyperlink" Target="https://eur-lex.europa.eu/legal-content/FR/TXT/PDF/?uri=OJ:L_202500834" TargetMode="External"/><Relationship Id="rId22" Type="http://schemas.openxmlformats.org/officeDocument/2006/relationships/hyperlink" Target="https://eur-lex.europa.eu/legal-content/FR/TXT/PDF/?uri=OJ:L_202500975" TargetMode="External"/><Relationship Id="rId27" Type="http://schemas.openxmlformats.org/officeDocument/2006/relationships/hyperlink" Target="https://eur-lex.europa.eu/legal-content/FR/TXT/PDF/?uri=OJ:L_202500952" TargetMode="External"/><Relationship Id="rId30" Type="http://schemas.openxmlformats.org/officeDocument/2006/relationships/hyperlink" Target="https://eur-lex.europa.eu/legal-content/FR/TXT/PDF/?uri=OJ:L_202500998" TargetMode="External"/><Relationship Id="rId35" Type="http://schemas.openxmlformats.org/officeDocument/2006/relationships/hyperlink" Target="https://eur-lex.europa.eu/legal-content/FR/TXT/PDF/?uri=OJ:L_202501019" TargetMode="External"/><Relationship Id="rId43" Type="http://schemas.openxmlformats.org/officeDocument/2006/relationships/hyperlink" Target="https://knowledge4policy.ec.europa.eu/food-fraud-quality/monthly-food-fraud-summary-reports/publication/food-fraud-summary-april-2025_en" TargetMode="External"/><Relationship Id="rId48" Type="http://schemas.openxmlformats.org/officeDocument/2006/relationships/hyperlink" Target="https://www.legifrance.gouv.fr/jorf/id/JORFTEXT000051577439*" TargetMode="External"/><Relationship Id="rId56" Type="http://schemas.openxmlformats.org/officeDocument/2006/relationships/hyperlink" Target="https://eur-lex.europa.eu/legal-content/FR/TXT/PDF/?uri=OJ:L_202500858" TargetMode="External"/><Relationship Id="rId64" Type="http://schemas.openxmlformats.org/officeDocument/2006/relationships/hyperlink" Target="https://eur-lex.europa.eu/legal-content/FR/TXT/PDF/?uri=OJ:L_202500909" TargetMode="External"/><Relationship Id="rId69" Type="http://schemas.openxmlformats.org/officeDocument/2006/relationships/header" Target="header1.xml"/><Relationship Id="rId8" Type="http://schemas.openxmlformats.org/officeDocument/2006/relationships/hyperlink" Target="https://info.agriculture.gouv.fr/boagri/instruction-2025-344" TargetMode="External"/><Relationship Id="rId51" Type="http://schemas.openxmlformats.org/officeDocument/2006/relationships/hyperlink" Target="https://eur-lex.europa.eu/legal-content/FR/TXT/PDF/?uri=OJ:C_202502613" TargetMode="External"/><Relationship Id="rId72" Type="http://schemas.openxmlformats.org/officeDocument/2006/relationships/header" Target="header3.xml"/><Relationship Id="rId3" Type="http://schemas.openxmlformats.org/officeDocument/2006/relationships/settings" Target="settings.xml"/><Relationship Id="rId12" Type="http://schemas.openxmlformats.org/officeDocument/2006/relationships/hyperlink" Target="https://eur-lex.europa.eu/legal-content/FR/TXT/PDF/?uri=OJ:L_202500831" TargetMode="External"/><Relationship Id="rId17" Type="http://schemas.openxmlformats.org/officeDocument/2006/relationships/hyperlink" Target="https://eur-lex.europa.eu/legal-content/FR/TXT/PDF/?uri=OJ:L_202500881" TargetMode="External"/><Relationship Id="rId25" Type="http://schemas.openxmlformats.org/officeDocument/2006/relationships/hyperlink" Target="https://eur-lex.europa.eu/legal-content/FR/TXT/PDF/?uri=OJ:L_202500946" TargetMode="External"/><Relationship Id="rId33" Type="http://schemas.openxmlformats.org/officeDocument/2006/relationships/hyperlink" Target="https://eur-lex.europa.eu/legal-content/FR/TXT/PDF/?uri=OJ:L_202500950" TargetMode="External"/><Relationship Id="rId38" Type="http://schemas.openxmlformats.org/officeDocument/2006/relationships/hyperlink" Target="https://www.plateforme-sca.fr/ndeg132-5-mai-2025" TargetMode="External"/><Relationship Id="rId46" Type="http://schemas.openxmlformats.org/officeDocument/2006/relationships/hyperlink" Target="https://eur-lex.europa.eu/legal-content/FR/TXT/PDF/?uri=OJ:L_202500883" TargetMode="External"/><Relationship Id="rId59" Type="http://schemas.openxmlformats.org/officeDocument/2006/relationships/hyperlink" Target="https://info.agriculture.gouv.fr/boagri/instruction-2025-308" TargetMode="External"/><Relationship Id="rId67" Type="http://schemas.openxmlformats.org/officeDocument/2006/relationships/hyperlink" Target="https://eur-lex.europa.eu/legal-content/FR/TXT/PDF/?uri=OJ:L_202501083" TargetMode="External"/><Relationship Id="rId20" Type="http://schemas.openxmlformats.org/officeDocument/2006/relationships/hyperlink" Target="https://eur-lex.europa.eu/legal-content/FR/TXT/PDF/?uri=OJ:L_202500930" TargetMode="External"/><Relationship Id="rId41" Type="http://schemas.openxmlformats.org/officeDocument/2006/relationships/hyperlink" Target="https://vigilanses.anses.fr/fr/issue" TargetMode="External"/><Relationship Id="rId54" Type="http://schemas.openxmlformats.org/officeDocument/2006/relationships/hyperlink" Target="https://eur-lex.europa.eu/legal-content/FR/TXT/PDF/?uri=OJ:L_202501113" TargetMode="External"/><Relationship Id="rId62" Type="http://schemas.openxmlformats.org/officeDocument/2006/relationships/hyperlink" Target="https://eur-lex.europa.eu/legal-content/FR/TXT/PDF/?uri=OJ:L_202500859" TargetMode="External"/><Relationship Id="rId7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eur-lex.europa.eu/legal-content/FR/TXT/PDF/?uri=OJ:L_202500839" TargetMode="External"/><Relationship Id="rId23" Type="http://schemas.openxmlformats.org/officeDocument/2006/relationships/hyperlink" Target="https://eur-lex.europa.eu/legal-content/FR/TXT/PDF/?uri=OJ:L_202500944" TargetMode="External"/><Relationship Id="rId28" Type="http://schemas.openxmlformats.org/officeDocument/2006/relationships/hyperlink" Target="https://eur-lex.europa.eu/legal-content/FR/TXT/PDF/?uri=OJ:L_202500953" TargetMode="External"/><Relationship Id="rId36" Type="http://schemas.openxmlformats.org/officeDocument/2006/relationships/hyperlink" Target="https://eur-lex.europa.eu/legal-content/FR/TXT/PDF/?uri=OJ:L_202501043" TargetMode="External"/><Relationship Id="rId49" Type="http://schemas.openxmlformats.org/officeDocument/2006/relationships/hyperlink" Target="https://info.agriculture.gouv.fr/boagri/document_administratif-e659a2d7-31a9-4b94-b391-98c41614f0c8" TargetMode="External"/><Relationship Id="rId57" Type="http://schemas.openxmlformats.org/officeDocument/2006/relationships/hyperlink" Target="https://eur-lex.europa.eu/legal-content/FR/TXT/PDF/?uri=OJ:L_202500896" TargetMode="External"/><Relationship Id="rId10" Type="http://schemas.openxmlformats.org/officeDocument/2006/relationships/hyperlink" Target="https://info.agriculture.gouv.fr/boagri/instruction-2025-333" TargetMode="External"/><Relationship Id="rId31" Type="http://schemas.openxmlformats.org/officeDocument/2006/relationships/hyperlink" Target="https://eur-lex.europa.eu/legal-content/FR/TXT/PDF/?uri=OJ:L_202500999" TargetMode="External"/><Relationship Id="rId44" Type="http://schemas.openxmlformats.org/officeDocument/2006/relationships/hyperlink" Target="https://info.agriculture.gouv.fr/boagri/instruction-2025-276" TargetMode="External"/><Relationship Id="rId52" Type="http://schemas.openxmlformats.org/officeDocument/2006/relationships/hyperlink" Target="https://eur-lex.europa.eu/legal-content/FR/TXT/PDF/?uri=OJ:L_202501009" TargetMode="External"/><Relationship Id="rId60" Type="http://schemas.openxmlformats.org/officeDocument/2006/relationships/hyperlink" Target="https://info.agriculture.gouv.fr/boagri/instruction-2025-357" TargetMode="External"/><Relationship Id="rId65" Type="http://schemas.openxmlformats.org/officeDocument/2006/relationships/hyperlink" Target="https://eur-lex.europa.eu/legal-content/FR/TXT/PDF/?uri=OJ:L_202501072" TargetMode="External"/><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anses.fr/sites/default/files/REACH-2014-REACh-0261.pdf" TargetMode="External"/><Relationship Id="rId13" Type="http://schemas.openxmlformats.org/officeDocument/2006/relationships/hyperlink" Target="https://eur-lex.europa.eu/legal-content/FR/TXT/PDF/?uri=OJ:L_202500833" TargetMode="External"/><Relationship Id="rId18" Type="http://schemas.openxmlformats.org/officeDocument/2006/relationships/hyperlink" Target="https://eur-lex.europa.eu/legal-content/FR/TXT/PDF/?uri=OJ:L_202500910" TargetMode="External"/><Relationship Id="rId39" Type="http://schemas.openxmlformats.org/officeDocument/2006/relationships/hyperlink" Target="https://www.plateforme-sca.fr/ndeg133-15-mai-2025" TargetMode="External"/><Relationship Id="rId34" Type="http://schemas.openxmlformats.org/officeDocument/2006/relationships/hyperlink" Target="https://eur-lex.europa.eu/legal-content/FR/TXT/PDF/?uri=OJ:L_202500951" TargetMode="External"/><Relationship Id="rId50" Type="http://schemas.openxmlformats.org/officeDocument/2006/relationships/hyperlink" Target="https://info.agriculture.gouv.fr/boagri/document_administratif-eea62624-f25d-4485-ad5b-1e9d828fe83f" TargetMode="External"/><Relationship Id="rId55" Type="http://schemas.openxmlformats.org/officeDocument/2006/relationships/hyperlink" Target="https://www.legifrance.gouv.fr/jorf/id/JORFTEXT000051568474" TargetMode="External"/><Relationship Id="rId7" Type="http://schemas.openxmlformats.org/officeDocument/2006/relationships/hyperlink" Target="https://eur-lex.europa.eu/legal-content/FR/TXT/PDF/?uri=OJ:L_202590362" TargetMode="External"/><Relationship Id="rId71"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3596</Words>
  <Characters>19780</Characters>
  <Application>Microsoft Office Word</Application>
  <DocSecurity>0</DocSecurity>
  <Lines>164</Lines>
  <Paragraphs>46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dc:creator>
  <cp:keywords/>
  <dc:description/>
  <cp:lastModifiedBy>Denis GRIVET</cp:lastModifiedBy>
  <cp:revision>3</cp:revision>
  <dcterms:created xsi:type="dcterms:W3CDTF">2025-06-18T08:01:00Z</dcterms:created>
  <dcterms:modified xsi:type="dcterms:W3CDTF">2025-10-14T13:47:00Z</dcterms:modified>
</cp:coreProperties>
</file>