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A10F1" w14:textId="0D91026A" w:rsidR="008C6285" w:rsidRPr="00CA37B8" w:rsidRDefault="008C6285" w:rsidP="008C6285">
      <w:pPr>
        <w:spacing w:after="0" w:line="240" w:lineRule="auto"/>
        <w:jc w:val="center"/>
        <w:rPr>
          <w:rFonts w:ascii="Trebuchet MS" w:hAnsi="Trebuchet MS" w:cs="Tahoma"/>
          <w:b/>
          <w:color w:val="EF671A"/>
          <w:sz w:val="28"/>
          <w:szCs w:val="28"/>
        </w:rPr>
      </w:pPr>
      <w:r w:rsidRPr="00CA37B8">
        <w:rPr>
          <w:rFonts w:ascii="Trebuchet MS" w:hAnsi="Trebuchet MS" w:cs="Tahoma"/>
          <w:b/>
          <w:color w:val="EF671A"/>
          <w:sz w:val="28"/>
          <w:szCs w:val="28"/>
        </w:rPr>
        <w:t>BULLETIN DE VEILLE REGLEMENTAIRE</w:t>
      </w:r>
    </w:p>
    <w:p w14:paraId="1AC8D927" w14:textId="2625AC6B" w:rsidR="008C6285" w:rsidRDefault="008C6285" w:rsidP="008C6285">
      <w:pPr>
        <w:spacing w:after="0" w:line="240" w:lineRule="auto"/>
        <w:jc w:val="center"/>
        <w:rPr>
          <w:rFonts w:ascii="Trebuchet MS" w:hAnsi="Trebuchet MS" w:cs="Tahoma"/>
          <w:b/>
          <w:color w:val="EF671A"/>
          <w:sz w:val="28"/>
          <w:szCs w:val="28"/>
        </w:rPr>
      </w:pPr>
      <w:proofErr w:type="gramStart"/>
      <w:r w:rsidRPr="00CA37B8">
        <w:rPr>
          <w:rFonts w:ascii="Trebuchet MS" w:hAnsi="Trebuchet MS" w:cs="Tahoma"/>
          <w:b/>
          <w:color w:val="EF671A"/>
          <w:sz w:val="28"/>
          <w:szCs w:val="28"/>
        </w:rPr>
        <w:t>n</w:t>
      </w:r>
      <w:proofErr w:type="gramEnd"/>
      <w:r w:rsidRPr="00CA37B8">
        <w:rPr>
          <w:rFonts w:ascii="Trebuchet MS" w:hAnsi="Trebuchet MS" w:cs="Tahoma"/>
          <w:b/>
          <w:color w:val="EF671A"/>
          <w:sz w:val="28"/>
          <w:szCs w:val="28"/>
        </w:rPr>
        <w:t>°</w:t>
      </w:r>
      <w:r>
        <w:rPr>
          <w:rFonts w:ascii="Trebuchet MS" w:hAnsi="Trebuchet MS" w:cs="Tahoma"/>
          <w:b/>
          <w:color w:val="EF671A"/>
          <w:sz w:val="28"/>
          <w:szCs w:val="28"/>
        </w:rPr>
        <w:t>7</w:t>
      </w:r>
      <w:r w:rsidRPr="00CA37B8">
        <w:rPr>
          <w:rFonts w:ascii="Trebuchet MS" w:hAnsi="Trebuchet MS" w:cs="Tahoma"/>
          <w:b/>
          <w:color w:val="EF671A"/>
          <w:sz w:val="28"/>
          <w:szCs w:val="28"/>
        </w:rPr>
        <w:t xml:space="preserve"> </w:t>
      </w:r>
      <w:r>
        <w:rPr>
          <w:rFonts w:ascii="Trebuchet MS" w:hAnsi="Trebuchet MS" w:cs="Tahoma"/>
          <w:b/>
          <w:color w:val="EF671A"/>
          <w:sz w:val="28"/>
          <w:szCs w:val="28"/>
        </w:rPr>
        <w:t>–</w:t>
      </w:r>
      <w:r w:rsidRPr="00CA37B8">
        <w:rPr>
          <w:rFonts w:ascii="Trebuchet MS" w:hAnsi="Trebuchet MS" w:cs="Tahoma"/>
          <w:b/>
          <w:color w:val="EF671A"/>
          <w:sz w:val="28"/>
          <w:szCs w:val="28"/>
        </w:rPr>
        <w:t xml:space="preserve"> </w:t>
      </w:r>
      <w:r>
        <w:rPr>
          <w:rFonts w:ascii="Trebuchet MS" w:hAnsi="Trebuchet MS" w:cs="Tahoma"/>
          <w:b/>
          <w:color w:val="EF671A"/>
          <w:sz w:val="28"/>
          <w:szCs w:val="28"/>
        </w:rPr>
        <w:t>juillet &amp; août</w:t>
      </w:r>
      <w:r w:rsidRPr="00CA37B8">
        <w:rPr>
          <w:rFonts w:ascii="Trebuchet MS" w:hAnsi="Trebuchet MS" w:cs="Tahoma"/>
          <w:b/>
          <w:color w:val="EF671A"/>
          <w:sz w:val="28"/>
          <w:szCs w:val="28"/>
        </w:rPr>
        <w:t xml:space="preserve"> 2025</w:t>
      </w:r>
    </w:p>
    <w:p w14:paraId="541BB0CD" w14:textId="77777777" w:rsidR="008C6285" w:rsidRPr="00CA37B8" w:rsidRDefault="008C6285" w:rsidP="008C6285">
      <w:pPr>
        <w:spacing w:after="0" w:line="240" w:lineRule="auto"/>
        <w:jc w:val="center"/>
        <w:rPr>
          <w:rFonts w:ascii="Trebuchet MS" w:hAnsi="Trebuchet MS" w:cs="Tahoma"/>
          <w:b/>
          <w:color w:val="EF671A"/>
          <w:sz w:val="28"/>
          <w:szCs w:val="28"/>
        </w:rPr>
      </w:pPr>
    </w:p>
    <w:p w14:paraId="290FBEF2" w14:textId="77777777" w:rsidR="008C6285" w:rsidRPr="008C6285" w:rsidRDefault="008C6285" w:rsidP="008C6285">
      <w:pPr>
        <w:spacing w:after="0" w:line="240" w:lineRule="auto"/>
        <w:jc w:val="center"/>
        <w:rPr>
          <w:rFonts w:ascii="Trebuchet MS" w:hAnsi="Trebuchet MS" w:cs="Tahoma"/>
          <w:b/>
          <w:color w:val="595959" w:themeColor="text1" w:themeTint="A6"/>
          <w:sz w:val="28"/>
          <w:szCs w:val="28"/>
        </w:rPr>
      </w:pPr>
      <w:r w:rsidRPr="008C6285">
        <w:rPr>
          <w:rFonts w:ascii="Trebuchet MS" w:hAnsi="Trebuchet MS" w:cs="Tahoma"/>
          <w:b/>
          <w:color w:val="595959" w:themeColor="text1" w:themeTint="A6"/>
          <w:sz w:val="28"/>
          <w:szCs w:val="28"/>
        </w:rPr>
        <w:t>Sécurité des aliments et information du consommateur (France et Europe)</w:t>
      </w:r>
    </w:p>
    <w:p w14:paraId="5C1D1358" w14:textId="77777777" w:rsidR="008C6285" w:rsidRPr="00CA37B8" w:rsidRDefault="008C6285" w:rsidP="008C6285">
      <w:pPr>
        <w:spacing w:after="0" w:line="240" w:lineRule="auto"/>
        <w:jc w:val="center"/>
        <w:rPr>
          <w:rFonts w:ascii="Trebuchet MS" w:hAnsi="Trebuchet MS" w:cs="Tahoma"/>
          <w:b/>
          <w:color w:val="EF671A"/>
          <w:sz w:val="28"/>
          <w:szCs w:val="28"/>
        </w:rPr>
      </w:pPr>
    </w:p>
    <w:p w14:paraId="627BF11B" w14:textId="77777777" w:rsidR="008C6285" w:rsidRDefault="008C6285" w:rsidP="008C6285">
      <w:pPr>
        <w:spacing w:after="0" w:line="240" w:lineRule="auto"/>
        <w:jc w:val="center"/>
        <w:rPr>
          <w:rFonts w:ascii="Tenorite" w:hAnsi="Tenorite" w:cs="Tahoma"/>
          <w:b/>
          <w:color w:val="EF671A"/>
          <w:sz w:val="32"/>
          <w:szCs w:val="32"/>
          <w:u w:val="single"/>
        </w:rPr>
      </w:pPr>
      <w:r w:rsidRPr="005F3EA3">
        <w:rPr>
          <w:rFonts w:ascii="Tenorite" w:hAnsi="Tenorite" w:cs="Tahoma"/>
          <w:b/>
          <w:color w:val="EF671A"/>
          <w:sz w:val="32"/>
          <w:szCs w:val="32"/>
          <w:u w:val="single"/>
        </w:rPr>
        <w:t>Partie 1 : Règlementation générale</w:t>
      </w:r>
    </w:p>
    <w:p w14:paraId="211B5987" w14:textId="2EE21E4D" w:rsidR="005F3EA3" w:rsidRDefault="005F3EA3" w:rsidP="005F3EA3">
      <w:pPr>
        <w:spacing w:after="0" w:line="240" w:lineRule="auto"/>
        <w:jc w:val="center"/>
        <w:rPr>
          <w:rFonts w:ascii="Trebuchet MS" w:hAnsi="Trebuchet MS" w:cs="Tahoma"/>
          <w:b/>
          <w:color w:val="EF671A"/>
          <w:sz w:val="28"/>
          <w:szCs w:val="28"/>
        </w:rPr>
      </w:pPr>
    </w:p>
    <w:p w14:paraId="1BFE651C" w14:textId="74D0DD69" w:rsidR="008C6285" w:rsidRDefault="008C6285" w:rsidP="008C6285">
      <w:pPr>
        <w:spacing w:after="0" w:line="240" w:lineRule="auto"/>
        <w:jc w:val="center"/>
        <w:rPr>
          <w:rFonts w:ascii="Tenorite" w:hAnsi="Tenorite" w:cs="Tahoma"/>
          <w:b/>
          <w:color w:val="EF671A"/>
          <w:sz w:val="32"/>
          <w:szCs w:val="32"/>
          <w:u w:val="single"/>
        </w:rPr>
      </w:pPr>
      <w:r>
        <w:rPr>
          <w:rFonts w:ascii="Tenorite" w:hAnsi="Tenorite" w:cs="Tahoma"/>
          <w:b/>
          <w:color w:val="EF671A"/>
          <w:sz w:val="32"/>
          <w:szCs w:val="32"/>
          <w:u w:val="single"/>
        </w:rPr>
        <w:t xml:space="preserve"> </w:t>
      </w:r>
    </w:p>
    <w:p w14:paraId="061EEF07" w14:textId="77777777" w:rsidR="008C6285" w:rsidRDefault="008C6285" w:rsidP="005F3EA3">
      <w:pPr>
        <w:spacing w:after="0" w:line="240" w:lineRule="auto"/>
        <w:jc w:val="center"/>
        <w:rPr>
          <w:rFonts w:ascii="Tenorite" w:hAnsi="Tenorite" w:cs="Tahoma"/>
          <w:b/>
          <w:color w:val="EF671A"/>
          <w:sz w:val="32"/>
          <w:szCs w:val="32"/>
          <w:u w:val="single"/>
        </w:rPr>
      </w:pPr>
    </w:p>
    <w:bookmarkStart w:id="0" w:name="_Hlk207316473"/>
    <w:p w14:paraId="522C0528" w14:textId="77777777" w:rsidR="00121619" w:rsidRDefault="00121619" w:rsidP="00B33565">
      <w:pPr>
        <w:spacing w:after="0" w:line="240" w:lineRule="auto"/>
        <w:ind w:left="142"/>
        <w:jc w:val="both"/>
        <w:rPr>
          <w:rFonts w:ascii="Tenorite" w:hAnsi="Tenorite"/>
          <w:lang w:eastAsia="fr-FR"/>
        </w:rPr>
      </w:pPr>
      <w:r w:rsidRPr="00B33565">
        <w:rPr>
          <w:rFonts w:ascii="Tenorite" w:hAnsi="Tenorite"/>
          <w:lang w:eastAsia="fr-FR"/>
        </w:rPr>
        <w:fldChar w:fldCharType="begin"/>
      </w:r>
      <w:r w:rsidRPr="00B33565">
        <w:rPr>
          <w:rFonts w:ascii="Tenorite" w:hAnsi="Tenorite"/>
          <w:lang w:eastAsia="fr-FR"/>
        </w:rPr>
        <w:instrText>HYPERLINK "https://eur-lex.europa.eu/legal-content/FR/TXT/PDF/?uri=CELEX:32023R1115"</w:instrText>
      </w:r>
      <w:r w:rsidRPr="00B33565">
        <w:rPr>
          <w:rFonts w:ascii="Tenorite" w:hAnsi="Tenorite"/>
          <w:lang w:eastAsia="fr-FR"/>
        </w:rPr>
      </w:r>
      <w:r w:rsidRPr="00B33565">
        <w:rPr>
          <w:rFonts w:ascii="Tenorite" w:hAnsi="Tenorite"/>
          <w:lang w:eastAsia="fr-FR"/>
        </w:rPr>
        <w:fldChar w:fldCharType="separate"/>
      </w:r>
      <w:r w:rsidRPr="00B33565">
        <w:rPr>
          <w:rStyle w:val="Lienhypertexte"/>
          <w:rFonts w:ascii="Tenorite" w:hAnsi="Tenorite"/>
          <w:color w:val="auto"/>
          <w:lang w:eastAsia="fr-FR"/>
        </w:rPr>
        <w:t>COMMUNICATION DE LA COMMISSION</w:t>
      </w:r>
      <w:r w:rsidRPr="00B33565">
        <w:rPr>
          <w:rFonts w:ascii="Tenorite" w:hAnsi="Tenorite"/>
          <w:lang w:eastAsia="fr-FR"/>
        </w:rPr>
        <w:fldChar w:fldCharType="end"/>
      </w:r>
      <w:r w:rsidRPr="00B33565">
        <w:rPr>
          <w:rFonts w:ascii="Tenorite" w:hAnsi="Tenorite"/>
          <w:lang w:eastAsia="fr-FR"/>
        </w:rPr>
        <w:t xml:space="preserve"> — DOCUMENT D’ORIENTATION — CONCERNANT LE RÈGLEMENT (UE) 2023/1115 RELATIF AUX </w:t>
      </w:r>
      <w:r w:rsidRPr="00B33565">
        <w:rPr>
          <w:rFonts w:ascii="Tenorite" w:hAnsi="Tenorite"/>
          <w:b/>
          <w:bCs/>
          <w:lang w:eastAsia="fr-FR"/>
        </w:rPr>
        <w:t>PRODUITS ZÉRO DÉFORESTATION</w:t>
      </w:r>
      <w:r w:rsidRPr="00B33565">
        <w:rPr>
          <w:rFonts w:ascii="Tenorite" w:hAnsi="Tenorite"/>
          <w:lang w:eastAsia="fr-FR"/>
        </w:rPr>
        <w:t xml:space="preserve"> (JOUE 12/08/2025)</w:t>
      </w:r>
    </w:p>
    <w:bookmarkEnd w:id="0"/>
    <w:p w14:paraId="4CEA5421" w14:textId="7C64E32A" w:rsidR="002B7CB6" w:rsidRPr="005B4285" w:rsidRDefault="002B7CB6"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 xml:space="preserve">ADDITIFS, </w:t>
      </w:r>
      <w:r w:rsidR="00767DBA" w:rsidRPr="005B4285">
        <w:rPr>
          <w:rFonts w:ascii="Tenorite" w:hAnsi="Tenorite"/>
          <w:b/>
          <w:color w:val="833C0B" w:themeColor="accent2" w:themeShade="80"/>
          <w:sz w:val="24"/>
        </w:rPr>
        <w:t>ET INGREDIENTS</w:t>
      </w:r>
    </w:p>
    <w:p w14:paraId="54AA4722" w14:textId="7412A0CD" w:rsidR="002B7CB6" w:rsidRPr="005B4285" w:rsidRDefault="002B7CB6" w:rsidP="00B33565">
      <w:pPr>
        <w:spacing w:after="0" w:line="240" w:lineRule="auto"/>
        <w:ind w:left="284" w:hanging="142"/>
        <w:jc w:val="both"/>
        <w:rPr>
          <w:rFonts w:ascii="Tenorite" w:hAnsi="Tenorite"/>
          <w:color w:val="C45911" w:themeColor="accent2" w:themeShade="BF"/>
          <w:sz w:val="20"/>
        </w:rPr>
      </w:pPr>
      <w:r w:rsidRPr="005B4285">
        <w:rPr>
          <w:rFonts w:ascii="Tenorite" w:hAnsi="Tenorite"/>
          <w:color w:val="C45911" w:themeColor="accent2" w:themeShade="BF"/>
          <w:sz w:val="20"/>
        </w:rPr>
        <w:t>Additifs</w:t>
      </w:r>
      <w:r w:rsidR="00B33565">
        <w:rPr>
          <w:rFonts w:ascii="Tenorite" w:hAnsi="Tenorite"/>
          <w:color w:val="C45911" w:themeColor="accent2" w:themeShade="BF"/>
          <w:sz w:val="20"/>
        </w:rPr>
        <w:t xml:space="preserve"> /</w:t>
      </w:r>
    </w:p>
    <w:p w14:paraId="2377D8B1" w14:textId="36A2DE6D" w:rsidR="002B7CB6" w:rsidRPr="005B4285" w:rsidRDefault="002B7CB6" w:rsidP="00B33565">
      <w:pPr>
        <w:spacing w:after="0" w:line="240" w:lineRule="auto"/>
        <w:ind w:left="284" w:hanging="142"/>
        <w:jc w:val="both"/>
        <w:rPr>
          <w:rFonts w:ascii="Tenorite" w:hAnsi="Tenorite"/>
          <w:color w:val="C45911" w:themeColor="accent2" w:themeShade="BF"/>
          <w:sz w:val="20"/>
        </w:rPr>
      </w:pPr>
      <w:r w:rsidRPr="005B4285">
        <w:rPr>
          <w:rFonts w:ascii="Tenorite" w:hAnsi="Tenorite"/>
          <w:color w:val="C45911" w:themeColor="accent2" w:themeShade="BF"/>
          <w:sz w:val="20"/>
        </w:rPr>
        <w:t>Arômes</w:t>
      </w:r>
      <w:r w:rsidR="00B33565">
        <w:rPr>
          <w:rFonts w:ascii="Tenorite" w:hAnsi="Tenorite"/>
          <w:color w:val="C45911" w:themeColor="accent2" w:themeShade="BF"/>
          <w:sz w:val="20"/>
        </w:rPr>
        <w:t xml:space="preserve"> /</w:t>
      </w:r>
    </w:p>
    <w:p w14:paraId="47C0C303" w14:textId="10F08A6C" w:rsidR="002B7CB6" w:rsidRPr="005B4285" w:rsidRDefault="002B7CB6" w:rsidP="00B33565">
      <w:pPr>
        <w:spacing w:after="0" w:line="240" w:lineRule="auto"/>
        <w:ind w:left="284" w:hanging="142"/>
        <w:jc w:val="both"/>
        <w:rPr>
          <w:rFonts w:ascii="Tenorite" w:hAnsi="Tenorite"/>
          <w:color w:val="C45911" w:themeColor="accent2" w:themeShade="BF"/>
          <w:sz w:val="20"/>
        </w:rPr>
      </w:pPr>
      <w:r w:rsidRPr="005B4285">
        <w:rPr>
          <w:rFonts w:ascii="Tenorite" w:hAnsi="Tenorite"/>
          <w:color w:val="C45911" w:themeColor="accent2" w:themeShade="BF"/>
          <w:sz w:val="20"/>
        </w:rPr>
        <w:t>Auxiliaires technologiques</w:t>
      </w:r>
      <w:r w:rsidR="00B33565">
        <w:rPr>
          <w:rFonts w:ascii="Tenorite" w:hAnsi="Tenorite"/>
          <w:color w:val="C45911" w:themeColor="accent2" w:themeShade="BF"/>
          <w:sz w:val="20"/>
        </w:rPr>
        <w:t xml:space="preserve"> /</w:t>
      </w:r>
    </w:p>
    <w:p w14:paraId="49061338" w14:textId="1674F15A" w:rsidR="002B7CB6" w:rsidRDefault="002B7CB6" w:rsidP="00B33565">
      <w:pPr>
        <w:spacing w:after="0" w:line="240" w:lineRule="auto"/>
        <w:ind w:left="284" w:hanging="142"/>
        <w:jc w:val="both"/>
        <w:rPr>
          <w:rFonts w:ascii="Tenorite" w:hAnsi="Tenorite"/>
          <w:color w:val="C45911" w:themeColor="accent2" w:themeShade="BF"/>
          <w:sz w:val="20"/>
        </w:rPr>
      </w:pPr>
      <w:r w:rsidRPr="005B4285">
        <w:rPr>
          <w:rFonts w:ascii="Tenorite" w:hAnsi="Tenorite"/>
          <w:color w:val="C45911" w:themeColor="accent2" w:themeShade="BF"/>
          <w:sz w:val="20"/>
        </w:rPr>
        <w:t>Colorants</w:t>
      </w:r>
      <w:r w:rsidR="00B33565">
        <w:rPr>
          <w:rFonts w:ascii="Tenorite" w:hAnsi="Tenorite"/>
          <w:color w:val="C45911" w:themeColor="accent2" w:themeShade="BF"/>
          <w:sz w:val="20"/>
        </w:rPr>
        <w:t xml:space="preserve"> /</w:t>
      </w:r>
    </w:p>
    <w:p w14:paraId="51082AA4" w14:textId="77777777" w:rsidR="00186F4B" w:rsidRPr="005B4285" w:rsidRDefault="00186F4B" w:rsidP="00B33565">
      <w:pPr>
        <w:spacing w:after="0" w:line="240" w:lineRule="auto"/>
        <w:ind w:left="284" w:hanging="142"/>
        <w:jc w:val="both"/>
        <w:rPr>
          <w:rFonts w:ascii="Tenorite" w:hAnsi="Tenorite"/>
          <w:color w:val="C45911" w:themeColor="accent2" w:themeShade="BF"/>
          <w:sz w:val="20"/>
        </w:rPr>
      </w:pPr>
    </w:p>
    <w:p w14:paraId="091C2FFA" w14:textId="19B043A3" w:rsidR="002B7CB6" w:rsidRPr="005B4285" w:rsidRDefault="00767DBA" w:rsidP="00B33565">
      <w:pPr>
        <w:spacing w:after="0" w:line="240" w:lineRule="auto"/>
        <w:ind w:left="284" w:hanging="142"/>
        <w:jc w:val="both"/>
        <w:rPr>
          <w:rFonts w:ascii="Tenorite" w:hAnsi="Tenorite"/>
          <w:color w:val="C45911" w:themeColor="accent2" w:themeShade="BF"/>
          <w:sz w:val="20"/>
        </w:rPr>
      </w:pPr>
      <w:r w:rsidRPr="005B4285">
        <w:rPr>
          <w:rFonts w:ascii="Tenorite" w:hAnsi="Tenorite"/>
          <w:color w:val="C45911" w:themeColor="accent2" w:themeShade="BF"/>
          <w:sz w:val="20"/>
        </w:rPr>
        <w:t xml:space="preserve">Novel </w:t>
      </w:r>
      <w:proofErr w:type="spellStart"/>
      <w:r w:rsidRPr="005B4285">
        <w:rPr>
          <w:rFonts w:ascii="Tenorite" w:hAnsi="Tenorite"/>
          <w:color w:val="C45911" w:themeColor="accent2" w:themeShade="BF"/>
          <w:sz w:val="20"/>
        </w:rPr>
        <w:t>foods</w:t>
      </w:r>
      <w:proofErr w:type="spellEnd"/>
      <w:r w:rsidR="002B7CB6" w:rsidRPr="005B4285">
        <w:rPr>
          <w:rFonts w:ascii="Tenorite" w:hAnsi="Tenorite"/>
          <w:color w:val="C45911" w:themeColor="accent2" w:themeShade="BF"/>
          <w:sz w:val="20"/>
        </w:rPr>
        <w:t xml:space="preserve"> </w:t>
      </w:r>
    </w:p>
    <w:p w14:paraId="72586C3C" w14:textId="77777777" w:rsidR="008A1CC0" w:rsidRDefault="008A1CC0" w:rsidP="00B33565">
      <w:pPr>
        <w:shd w:val="clear" w:color="auto" w:fill="FFFFFF"/>
        <w:spacing w:after="0" w:line="240" w:lineRule="auto"/>
        <w:ind w:left="142"/>
        <w:jc w:val="both"/>
        <w:outlineLvl w:val="2"/>
        <w:rPr>
          <w:rFonts w:ascii="Tenorite" w:hAnsi="Tenorite"/>
        </w:rPr>
      </w:pPr>
      <w:hyperlink r:id="rId7" w:history="1">
        <w:r w:rsidRPr="005B4285">
          <w:rPr>
            <w:rStyle w:val="Lienhypertexte"/>
            <w:rFonts w:ascii="Tenorite" w:hAnsi="Tenorite"/>
          </w:rPr>
          <w:t>Règlement</w:t>
        </w:r>
      </w:hyperlink>
      <w:r w:rsidRPr="005B4285">
        <w:rPr>
          <w:rFonts w:ascii="Tenorite" w:hAnsi="Tenorite"/>
        </w:rPr>
        <w:t xml:space="preserve"> d’exécution (UE) 2025/1263 de la Commission du 30 juin 2025 autorisant la mise sur le marché de graines grillées de </w:t>
      </w:r>
      <w:proofErr w:type="spellStart"/>
      <w:r w:rsidRPr="00B33565">
        <w:rPr>
          <w:rFonts w:ascii="Tenorite" w:hAnsi="Tenorite"/>
          <w:b/>
          <w:bCs/>
        </w:rPr>
        <w:t>Dipteryx</w:t>
      </w:r>
      <w:proofErr w:type="spellEnd"/>
      <w:r w:rsidRPr="00B33565">
        <w:rPr>
          <w:rFonts w:ascii="Tenorite" w:hAnsi="Tenorite"/>
          <w:b/>
          <w:bCs/>
        </w:rPr>
        <w:t xml:space="preserve"> </w:t>
      </w:r>
      <w:proofErr w:type="spellStart"/>
      <w:r w:rsidRPr="00B33565">
        <w:rPr>
          <w:rFonts w:ascii="Tenorite" w:hAnsi="Tenorite"/>
          <w:b/>
          <w:bCs/>
        </w:rPr>
        <w:t>alata</w:t>
      </w:r>
      <w:proofErr w:type="spellEnd"/>
      <w:r w:rsidRPr="00B33565">
        <w:rPr>
          <w:rFonts w:ascii="Tenorite" w:hAnsi="Tenorite"/>
          <w:b/>
          <w:bCs/>
        </w:rPr>
        <w:t xml:space="preserve"> Vogel (</w:t>
      </w:r>
      <w:proofErr w:type="spellStart"/>
      <w:r w:rsidRPr="00B33565">
        <w:rPr>
          <w:rFonts w:ascii="Tenorite" w:hAnsi="Tenorite"/>
          <w:b/>
          <w:bCs/>
        </w:rPr>
        <w:t>baru</w:t>
      </w:r>
      <w:proofErr w:type="spellEnd"/>
      <w:r w:rsidRPr="00B33565">
        <w:rPr>
          <w:rFonts w:ascii="Tenorite" w:hAnsi="Tenorite"/>
          <w:b/>
          <w:bCs/>
        </w:rPr>
        <w:t>)</w:t>
      </w:r>
      <w:r w:rsidRPr="005B4285">
        <w:rPr>
          <w:rFonts w:ascii="Tenorite" w:hAnsi="Tenorite"/>
        </w:rPr>
        <w:t xml:space="preserve"> en tant qu’aliment traditionnel en provenance d’un pays tiers et modifiant le règlement d’exécution (UE) 2017/2470 (JOUE 01/07/2025)</w:t>
      </w:r>
    </w:p>
    <w:p w14:paraId="52DBED13" w14:textId="77777777" w:rsidR="00B33565" w:rsidRPr="005B4285" w:rsidRDefault="00B33565" w:rsidP="00B33565">
      <w:pPr>
        <w:shd w:val="clear" w:color="auto" w:fill="FFFFFF"/>
        <w:spacing w:after="0" w:line="240" w:lineRule="auto"/>
        <w:ind w:left="142"/>
        <w:jc w:val="both"/>
        <w:outlineLvl w:val="2"/>
        <w:rPr>
          <w:rFonts w:ascii="Tenorite" w:hAnsi="Tenorite"/>
        </w:rPr>
      </w:pPr>
    </w:p>
    <w:p w14:paraId="55DEC6AA" w14:textId="77777777" w:rsidR="008A1CC0" w:rsidRDefault="008A1CC0" w:rsidP="00B33565">
      <w:pPr>
        <w:shd w:val="clear" w:color="auto" w:fill="FFFFFF"/>
        <w:spacing w:after="0" w:line="240" w:lineRule="auto"/>
        <w:ind w:left="142"/>
        <w:jc w:val="both"/>
        <w:outlineLvl w:val="2"/>
        <w:rPr>
          <w:rFonts w:ascii="Tenorite" w:hAnsi="Tenorite"/>
        </w:rPr>
      </w:pPr>
      <w:hyperlink r:id="rId8" w:history="1">
        <w:r w:rsidRPr="005B4285">
          <w:rPr>
            <w:rStyle w:val="Lienhypertexte"/>
            <w:rFonts w:ascii="Tenorite" w:hAnsi="Tenorite"/>
          </w:rPr>
          <w:t>Règlement</w:t>
        </w:r>
      </w:hyperlink>
      <w:r w:rsidRPr="005B4285">
        <w:rPr>
          <w:rFonts w:ascii="Tenorite" w:hAnsi="Tenorite"/>
        </w:rPr>
        <w:t xml:space="preserve"> d’exécution (UE) 2025/1509 de la Commission du 25 juillet 2025 modifiant le règlement d’exécution (UE) 2017/2470 en ce qui concerne les spécifications du nouvel </w:t>
      </w:r>
      <w:r w:rsidRPr="00B33565">
        <w:rPr>
          <w:rFonts w:ascii="Tenorite" w:hAnsi="Tenorite"/>
        </w:rPr>
        <w:t xml:space="preserve">aliment </w:t>
      </w:r>
      <w:r w:rsidRPr="00B33565">
        <w:rPr>
          <w:rFonts w:ascii="Tenorite" w:hAnsi="Tenorite"/>
          <w:b/>
          <w:bCs/>
        </w:rPr>
        <w:t>phytostérols/</w:t>
      </w:r>
      <w:proofErr w:type="spellStart"/>
      <w:r w:rsidRPr="00B33565">
        <w:rPr>
          <w:rFonts w:ascii="Tenorite" w:hAnsi="Tenorite"/>
          <w:b/>
          <w:bCs/>
        </w:rPr>
        <w:t>phytostanols</w:t>
      </w:r>
      <w:proofErr w:type="spellEnd"/>
      <w:r w:rsidRPr="005B4285">
        <w:rPr>
          <w:rFonts w:ascii="Tenorite" w:hAnsi="Tenorite"/>
        </w:rPr>
        <w:t xml:space="preserve"> (JOUE 28/07/2025)</w:t>
      </w:r>
    </w:p>
    <w:p w14:paraId="03BB4C07" w14:textId="77777777" w:rsidR="00B33565" w:rsidRPr="005B4285" w:rsidRDefault="00B33565" w:rsidP="00B33565">
      <w:pPr>
        <w:shd w:val="clear" w:color="auto" w:fill="FFFFFF"/>
        <w:spacing w:after="0" w:line="240" w:lineRule="auto"/>
        <w:ind w:left="142"/>
        <w:jc w:val="both"/>
        <w:outlineLvl w:val="2"/>
        <w:rPr>
          <w:rFonts w:ascii="Tenorite" w:hAnsi="Tenorite"/>
        </w:rPr>
      </w:pPr>
    </w:p>
    <w:p w14:paraId="477930BE" w14:textId="77777777" w:rsidR="008A1CC0" w:rsidRDefault="008A1CC0" w:rsidP="00B33565">
      <w:pPr>
        <w:shd w:val="clear" w:color="auto" w:fill="FFFFFF"/>
        <w:spacing w:after="0" w:line="240" w:lineRule="auto"/>
        <w:ind w:left="142"/>
        <w:jc w:val="both"/>
        <w:outlineLvl w:val="2"/>
        <w:rPr>
          <w:rFonts w:ascii="Tenorite" w:hAnsi="Tenorite"/>
        </w:rPr>
      </w:pPr>
      <w:hyperlink r:id="rId9" w:history="1">
        <w:r w:rsidRPr="005B4285">
          <w:rPr>
            <w:rStyle w:val="Lienhypertexte"/>
            <w:rFonts w:ascii="Tenorite" w:hAnsi="Tenorite"/>
          </w:rPr>
          <w:t>Règlement</w:t>
        </w:r>
      </w:hyperlink>
      <w:r w:rsidRPr="005B4285">
        <w:rPr>
          <w:rFonts w:ascii="Tenorite" w:hAnsi="Tenorite"/>
        </w:rPr>
        <w:t xml:space="preserve"> d’exécution (UE) 2025/1513 de la Commission du 28 juillet 2025 modifiant le règlement d’exécution (UE) 2017/2470 en ce qui concerne les conditions d’utilisation et les exigences supplémentaires en matière d’étiquetage du nouvel aliment </w:t>
      </w:r>
      <w:r w:rsidRPr="00B33565">
        <w:rPr>
          <w:rFonts w:ascii="Tenorite" w:hAnsi="Tenorite"/>
          <w:b/>
          <w:bCs/>
        </w:rPr>
        <w:t xml:space="preserve">huile de </w:t>
      </w:r>
      <w:proofErr w:type="spellStart"/>
      <w:r w:rsidRPr="00B33565">
        <w:rPr>
          <w:rFonts w:ascii="Tenorite" w:hAnsi="Tenorite"/>
          <w:b/>
          <w:bCs/>
        </w:rPr>
        <w:t>Calanus</w:t>
      </w:r>
      <w:proofErr w:type="spellEnd"/>
      <w:r w:rsidRPr="00B33565">
        <w:rPr>
          <w:rFonts w:ascii="Tenorite" w:hAnsi="Tenorite"/>
          <w:b/>
          <w:bCs/>
        </w:rPr>
        <w:t xml:space="preserve"> </w:t>
      </w:r>
      <w:proofErr w:type="spellStart"/>
      <w:r w:rsidRPr="00B33565">
        <w:rPr>
          <w:rFonts w:ascii="Tenorite" w:hAnsi="Tenorite"/>
          <w:b/>
          <w:bCs/>
        </w:rPr>
        <w:t>finmarchicus</w:t>
      </w:r>
      <w:proofErr w:type="spellEnd"/>
      <w:r w:rsidRPr="005B4285">
        <w:rPr>
          <w:rFonts w:ascii="Tenorite" w:hAnsi="Tenorite"/>
        </w:rPr>
        <w:t xml:space="preserve"> (JOUE 29/07/2025)</w:t>
      </w:r>
    </w:p>
    <w:p w14:paraId="624402A9" w14:textId="77777777" w:rsidR="00B33565" w:rsidRPr="005B4285" w:rsidRDefault="00B33565" w:rsidP="00B33565">
      <w:pPr>
        <w:shd w:val="clear" w:color="auto" w:fill="FFFFFF"/>
        <w:spacing w:after="0" w:line="240" w:lineRule="auto"/>
        <w:ind w:left="142"/>
        <w:jc w:val="both"/>
        <w:outlineLvl w:val="2"/>
        <w:rPr>
          <w:rFonts w:ascii="Tenorite" w:hAnsi="Tenorite"/>
        </w:rPr>
      </w:pPr>
    </w:p>
    <w:p w14:paraId="0468EDA3" w14:textId="77777777" w:rsidR="008A1CC0" w:rsidRDefault="008A1CC0" w:rsidP="00B33565">
      <w:pPr>
        <w:shd w:val="clear" w:color="auto" w:fill="FFFFFF"/>
        <w:spacing w:after="0" w:line="240" w:lineRule="auto"/>
        <w:ind w:left="142"/>
        <w:jc w:val="both"/>
        <w:outlineLvl w:val="2"/>
        <w:rPr>
          <w:rFonts w:ascii="Tenorite" w:hAnsi="Tenorite"/>
        </w:rPr>
      </w:pPr>
      <w:hyperlink r:id="rId10" w:history="1">
        <w:r w:rsidRPr="005B4285">
          <w:rPr>
            <w:rStyle w:val="Lienhypertexte"/>
            <w:rFonts w:ascii="Tenorite" w:hAnsi="Tenorite"/>
          </w:rPr>
          <w:t>Règlement</w:t>
        </w:r>
      </w:hyperlink>
      <w:r w:rsidRPr="005B4285">
        <w:rPr>
          <w:rFonts w:ascii="Tenorite" w:hAnsi="Tenorite"/>
        </w:rPr>
        <w:t xml:space="preserve"> d’exécution (UE) 2025/1515 de la Commission du 28 juillet 2025 autorisant la mise sur le marché de </w:t>
      </w:r>
      <w:r w:rsidRPr="00B33565">
        <w:rPr>
          <w:rFonts w:ascii="Tenorite" w:hAnsi="Tenorite"/>
          <w:b/>
          <w:bCs/>
        </w:rPr>
        <w:t xml:space="preserve">l’huile extraite de </w:t>
      </w:r>
      <w:proofErr w:type="spellStart"/>
      <w:r w:rsidRPr="00B33565">
        <w:rPr>
          <w:rFonts w:ascii="Tenorite" w:hAnsi="Tenorite"/>
          <w:b/>
          <w:bCs/>
        </w:rPr>
        <w:t>Schizochytrium</w:t>
      </w:r>
      <w:proofErr w:type="spellEnd"/>
      <w:r w:rsidRPr="00B33565">
        <w:rPr>
          <w:rFonts w:ascii="Tenorite" w:hAnsi="Tenorite"/>
          <w:b/>
          <w:bCs/>
        </w:rPr>
        <w:t xml:space="preserve"> </w:t>
      </w:r>
      <w:proofErr w:type="spellStart"/>
      <w:r w:rsidRPr="00B33565">
        <w:rPr>
          <w:rFonts w:ascii="Tenorite" w:hAnsi="Tenorite"/>
          <w:b/>
          <w:bCs/>
        </w:rPr>
        <w:t>limacinum</w:t>
      </w:r>
      <w:proofErr w:type="spellEnd"/>
      <w:r w:rsidRPr="00B33565">
        <w:rPr>
          <w:rFonts w:ascii="Tenorite" w:hAnsi="Tenorite"/>
          <w:b/>
          <w:bCs/>
        </w:rPr>
        <w:t xml:space="preserve"> </w:t>
      </w:r>
      <w:r w:rsidRPr="005B4285">
        <w:rPr>
          <w:rFonts w:ascii="Tenorite" w:hAnsi="Tenorite"/>
        </w:rPr>
        <w:t>(ATCC-20889) en tant que nouvel aliment et modifiant le règlement d’exécution (UE) 2017/2470 (JOUE 29/07/2025)</w:t>
      </w:r>
    </w:p>
    <w:p w14:paraId="7F256795" w14:textId="77777777" w:rsidR="00B33565" w:rsidRPr="005B4285" w:rsidRDefault="00B33565" w:rsidP="00B33565">
      <w:pPr>
        <w:shd w:val="clear" w:color="auto" w:fill="FFFFFF"/>
        <w:spacing w:after="0" w:line="240" w:lineRule="auto"/>
        <w:ind w:left="142"/>
        <w:jc w:val="both"/>
        <w:outlineLvl w:val="2"/>
        <w:rPr>
          <w:rFonts w:ascii="Tenorite" w:hAnsi="Tenorite"/>
        </w:rPr>
      </w:pPr>
    </w:p>
    <w:p w14:paraId="01905D74" w14:textId="77777777" w:rsidR="00B33565" w:rsidRDefault="008A1CC0" w:rsidP="00B33565">
      <w:pPr>
        <w:shd w:val="clear" w:color="auto" w:fill="FFFFFF"/>
        <w:spacing w:after="0" w:line="240" w:lineRule="auto"/>
        <w:ind w:left="142"/>
        <w:jc w:val="both"/>
        <w:outlineLvl w:val="2"/>
        <w:rPr>
          <w:rFonts w:ascii="Tenorite" w:hAnsi="Tenorite"/>
        </w:rPr>
      </w:pPr>
      <w:hyperlink r:id="rId11" w:history="1">
        <w:r w:rsidRPr="005B4285">
          <w:rPr>
            <w:rStyle w:val="Lienhypertexte"/>
            <w:rFonts w:ascii="Tenorite" w:hAnsi="Tenorite"/>
          </w:rPr>
          <w:t>Règlement</w:t>
        </w:r>
      </w:hyperlink>
      <w:r w:rsidRPr="005B4285">
        <w:rPr>
          <w:rFonts w:ascii="Tenorite" w:hAnsi="Tenorite"/>
        </w:rPr>
        <w:t xml:space="preserve"> d’exécution (UE) 2025/1537 de la Commission du 29 juillet 2025 modifiant le règlement d’exécution (UE) 2017/2470 en ce qui concerne les conditions d’utilisation du nouvel aliment </w:t>
      </w:r>
      <w:r w:rsidRPr="00B33565">
        <w:rPr>
          <w:rFonts w:ascii="Tenorite" w:hAnsi="Tenorite"/>
          <w:b/>
          <w:bCs/>
        </w:rPr>
        <w:t>3-fucosyllactose</w:t>
      </w:r>
      <w:r w:rsidRPr="005B4285">
        <w:rPr>
          <w:rFonts w:ascii="Tenorite" w:hAnsi="Tenorite"/>
        </w:rPr>
        <w:t xml:space="preserve"> produit avec des souches dérivées d’Escherichia </w:t>
      </w:r>
      <w:proofErr w:type="gramStart"/>
      <w:r w:rsidRPr="005B4285">
        <w:rPr>
          <w:rFonts w:ascii="Tenorite" w:hAnsi="Tenorite"/>
        </w:rPr>
        <w:t>coli</w:t>
      </w:r>
      <w:proofErr w:type="gramEnd"/>
      <w:r w:rsidRPr="005B4285">
        <w:rPr>
          <w:rFonts w:ascii="Tenorite" w:hAnsi="Tenorite"/>
        </w:rPr>
        <w:t xml:space="preserve"> BL21 (DE3) (JOUE 30/07/2025)</w:t>
      </w:r>
    </w:p>
    <w:p w14:paraId="65918DEF" w14:textId="77777777" w:rsidR="008A1CC0" w:rsidRPr="005B4285" w:rsidRDefault="008A1CC0" w:rsidP="00B33565">
      <w:pPr>
        <w:shd w:val="clear" w:color="auto" w:fill="FFFFFF"/>
        <w:spacing w:after="0" w:line="240" w:lineRule="auto"/>
        <w:ind w:left="142"/>
        <w:jc w:val="both"/>
        <w:outlineLvl w:val="2"/>
        <w:rPr>
          <w:rFonts w:ascii="Tenorite" w:hAnsi="Tenorite"/>
        </w:rPr>
      </w:pPr>
      <w:r w:rsidRPr="005B4285">
        <w:rPr>
          <w:rFonts w:ascii="Tenorite" w:hAnsi="Tenorite"/>
        </w:rPr>
        <w:br/>
      </w:r>
      <w:hyperlink r:id="rId12" w:history="1">
        <w:r w:rsidRPr="005B4285">
          <w:rPr>
            <w:rStyle w:val="Lienhypertexte"/>
            <w:rFonts w:ascii="Tenorite" w:hAnsi="Tenorite" w:cstheme="minorHAnsi"/>
          </w:rPr>
          <w:t>Règlement</w:t>
        </w:r>
      </w:hyperlink>
      <w:r w:rsidRPr="005B4285">
        <w:rPr>
          <w:rFonts w:ascii="Tenorite" w:hAnsi="Tenorite" w:cstheme="minorHAnsi"/>
        </w:rPr>
        <w:t xml:space="preserve"> d’exécution (UE) 2025/1528 de la Commission du 30 juillet 2025 autorisant la mise sur le marché de </w:t>
      </w:r>
      <w:r w:rsidRPr="00B33565">
        <w:rPr>
          <w:rFonts w:ascii="Tenorite" w:hAnsi="Tenorite" w:cstheme="minorHAnsi"/>
          <w:b/>
          <w:bCs/>
        </w:rPr>
        <w:t xml:space="preserve">l’huile extraite de Cyperus </w:t>
      </w:r>
      <w:proofErr w:type="spellStart"/>
      <w:r w:rsidRPr="00B33565">
        <w:rPr>
          <w:rFonts w:ascii="Tenorite" w:hAnsi="Tenorite" w:cstheme="minorHAnsi"/>
          <w:b/>
          <w:bCs/>
        </w:rPr>
        <w:t>esculentus</w:t>
      </w:r>
      <w:proofErr w:type="spellEnd"/>
      <w:r w:rsidRPr="00B33565">
        <w:rPr>
          <w:rFonts w:ascii="Tenorite" w:hAnsi="Tenorite" w:cstheme="minorHAnsi"/>
          <w:b/>
          <w:bCs/>
        </w:rPr>
        <w:t xml:space="preserve"> (noix tigrée)</w:t>
      </w:r>
      <w:r w:rsidRPr="005B4285">
        <w:rPr>
          <w:rFonts w:ascii="Tenorite" w:hAnsi="Tenorite" w:cstheme="minorHAnsi"/>
        </w:rPr>
        <w:t xml:space="preserve"> en tant que nouvel aliment et modifiant le règlement d’exécution (UE) 2017/</w:t>
      </w:r>
      <w:proofErr w:type="gramStart"/>
      <w:r w:rsidRPr="005B4285">
        <w:rPr>
          <w:rFonts w:ascii="Tenorite" w:hAnsi="Tenorite" w:cstheme="minorHAnsi"/>
        </w:rPr>
        <w:t xml:space="preserve">2470 </w:t>
      </w:r>
      <w:r w:rsidRPr="005B4285">
        <w:rPr>
          <w:rFonts w:ascii="Tenorite" w:hAnsi="Tenorite"/>
        </w:rPr>
        <w:t>)</w:t>
      </w:r>
      <w:proofErr w:type="gramEnd"/>
      <w:r w:rsidRPr="005B4285">
        <w:rPr>
          <w:rFonts w:ascii="Tenorite" w:hAnsi="Tenorite"/>
        </w:rPr>
        <w:t xml:space="preserve"> (JOUE 31/07/2025)</w:t>
      </w:r>
    </w:p>
    <w:p w14:paraId="1BFEE41E" w14:textId="77777777" w:rsidR="008A1CC0" w:rsidRPr="005B4285" w:rsidRDefault="008A1CC0" w:rsidP="00B33565">
      <w:pPr>
        <w:shd w:val="clear" w:color="auto" w:fill="FFFFFF"/>
        <w:spacing w:after="0" w:line="240" w:lineRule="auto"/>
        <w:ind w:left="142"/>
        <w:jc w:val="both"/>
        <w:outlineLvl w:val="2"/>
        <w:rPr>
          <w:rFonts w:ascii="Tenorite" w:hAnsi="Tenorite"/>
        </w:rPr>
      </w:pPr>
    </w:p>
    <w:p w14:paraId="1C8201A8" w14:textId="77777777" w:rsidR="008A1CC0" w:rsidRPr="005B4285" w:rsidRDefault="008A1CC0" w:rsidP="00B33565">
      <w:pPr>
        <w:shd w:val="clear" w:color="auto" w:fill="FFFFFF"/>
        <w:spacing w:after="0" w:line="240" w:lineRule="auto"/>
        <w:ind w:left="142"/>
        <w:jc w:val="both"/>
        <w:outlineLvl w:val="2"/>
        <w:rPr>
          <w:rFonts w:ascii="Tenorite" w:hAnsi="Tenorite"/>
        </w:rPr>
      </w:pPr>
      <w:hyperlink r:id="rId13" w:history="1">
        <w:r w:rsidRPr="005B4285">
          <w:rPr>
            <w:rStyle w:val="Lienhypertexte"/>
            <w:rFonts w:ascii="Tenorite" w:hAnsi="Tenorite"/>
          </w:rPr>
          <w:t>Règlement</w:t>
        </w:r>
      </w:hyperlink>
      <w:r w:rsidRPr="005B4285">
        <w:rPr>
          <w:rFonts w:ascii="Tenorite" w:hAnsi="Tenorite"/>
        </w:rPr>
        <w:t xml:space="preserve"> d’exécution (UE) 2025/1530 de la Commission du 30 juillet 2025 autorisant la mise sur le marché de </w:t>
      </w:r>
      <w:r w:rsidRPr="00B33565">
        <w:rPr>
          <w:rFonts w:ascii="Tenorite" w:hAnsi="Tenorite"/>
          <w:b/>
          <w:bCs/>
        </w:rPr>
        <w:t xml:space="preserve">l’huile extraite du trichlorure de potassium et de magnésium </w:t>
      </w:r>
      <w:proofErr w:type="spellStart"/>
      <w:r w:rsidRPr="00B33565">
        <w:rPr>
          <w:rFonts w:ascii="Tenorite" w:hAnsi="Tenorite"/>
          <w:b/>
          <w:bCs/>
        </w:rPr>
        <w:t>hexahydraté</w:t>
      </w:r>
      <w:proofErr w:type="spellEnd"/>
      <w:r w:rsidRPr="005B4285">
        <w:rPr>
          <w:rFonts w:ascii="Tenorite" w:hAnsi="Tenorite"/>
        </w:rPr>
        <w:t xml:space="preserve"> en tant que nouvel aliment et modifiant le règlement d’exécution (UE) 2017/2470 (JOUE 31/07/2025)</w:t>
      </w:r>
    </w:p>
    <w:p w14:paraId="42864AB2" w14:textId="77777777" w:rsidR="008A1CC0" w:rsidRPr="005B4285" w:rsidRDefault="008A1CC0" w:rsidP="00B33565">
      <w:pPr>
        <w:shd w:val="clear" w:color="auto" w:fill="FFFFFF"/>
        <w:spacing w:after="0" w:line="240" w:lineRule="auto"/>
        <w:ind w:left="142"/>
        <w:jc w:val="both"/>
        <w:outlineLvl w:val="2"/>
        <w:rPr>
          <w:rFonts w:ascii="Tenorite" w:hAnsi="Tenorite"/>
        </w:rPr>
      </w:pPr>
    </w:p>
    <w:p w14:paraId="34EC5F23" w14:textId="77777777" w:rsidR="008A1CC0" w:rsidRPr="005B4285" w:rsidRDefault="008A1CC0" w:rsidP="00B33565">
      <w:pPr>
        <w:shd w:val="clear" w:color="auto" w:fill="FFFFFF"/>
        <w:spacing w:after="0" w:line="240" w:lineRule="auto"/>
        <w:ind w:left="142"/>
        <w:jc w:val="both"/>
        <w:outlineLvl w:val="2"/>
        <w:rPr>
          <w:rFonts w:ascii="Tenorite" w:hAnsi="Tenorite"/>
        </w:rPr>
      </w:pPr>
      <w:hyperlink r:id="rId14" w:history="1">
        <w:r w:rsidRPr="005B4285">
          <w:rPr>
            <w:rStyle w:val="Lienhypertexte"/>
            <w:rFonts w:ascii="Tenorite" w:hAnsi="Tenorite"/>
          </w:rPr>
          <w:t>Règlement</w:t>
        </w:r>
      </w:hyperlink>
      <w:r w:rsidRPr="005B4285">
        <w:rPr>
          <w:rFonts w:ascii="Tenorite" w:hAnsi="Tenorite"/>
        </w:rPr>
        <w:t xml:space="preserve"> d’exécution (UE) 2025/1549 de la Commission du 30 juillet 2025 rectifiant les règlements d’exécution (UE) 2023/2210 et (UE) 2022/1365 en ce qui concerne les conditions d’utilisation des nouveaux aliments </w:t>
      </w:r>
      <w:r w:rsidRPr="00B33565">
        <w:rPr>
          <w:rFonts w:ascii="Tenorite" w:hAnsi="Tenorite"/>
          <w:b/>
          <w:bCs/>
        </w:rPr>
        <w:t>3-fucosyllactose</w:t>
      </w:r>
      <w:r w:rsidRPr="005B4285">
        <w:rPr>
          <w:rFonts w:ascii="Tenorite" w:hAnsi="Tenorite"/>
        </w:rPr>
        <w:t xml:space="preserve"> produit au moyen d’une souche dérivée d’Escherichia </w:t>
      </w:r>
      <w:proofErr w:type="gramStart"/>
      <w:r w:rsidRPr="005B4285">
        <w:rPr>
          <w:rFonts w:ascii="Tenorite" w:hAnsi="Tenorite"/>
        </w:rPr>
        <w:t>coli</w:t>
      </w:r>
      <w:proofErr w:type="gramEnd"/>
      <w:r w:rsidRPr="005B4285">
        <w:rPr>
          <w:rFonts w:ascii="Tenorite" w:hAnsi="Tenorite"/>
        </w:rPr>
        <w:t xml:space="preserve"> K-12 DH1 et </w:t>
      </w:r>
      <w:r w:rsidRPr="00B33565">
        <w:rPr>
          <w:rFonts w:ascii="Tenorite" w:hAnsi="Tenorite"/>
          <w:b/>
          <w:bCs/>
        </w:rPr>
        <w:t xml:space="preserve">huile extraite de </w:t>
      </w:r>
      <w:proofErr w:type="spellStart"/>
      <w:r w:rsidRPr="00B33565">
        <w:rPr>
          <w:rFonts w:ascii="Tenorite" w:hAnsi="Tenorite"/>
          <w:b/>
          <w:bCs/>
        </w:rPr>
        <w:t>Schizochytrium</w:t>
      </w:r>
      <w:proofErr w:type="spellEnd"/>
      <w:r w:rsidRPr="00B33565">
        <w:rPr>
          <w:rFonts w:ascii="Tenorite" w:hAnsi="Tenorite"/>
          <w:b/>
          <w:bCs/>
        </w:rPr>
        <w:t xml:space="preserve"> </w:t>
      </w:r>
      <w:proofErr w:type="spellStart"/>
      <w:r w:rsidRPr="00B33565">
        <w:rPr>
          <w:rFonts w:ascii="Tenorite" w:hAnsi="Tenorite"/>
          <w:b/>
          <w:bCs/>
        </w:rPr>
        <w:t>sp</w:t>
      </w:r>
      <w:proofErr w:type="spellEnd"/>
      <w:r w:rsidRPr="00B33565">
        <w:rPr>
          <w:rFonts w:ascii="Tenorite" w:hAnsi="Tenorite"/>
          <w:b/>
          <w:bCs/>
        </w:rPr>
        <w:t>.</w:t>
      </w:r>
      <w:r w:rsidRPr="005B4285">
        <w:rPr>
          <w:rFonts w:ascii="Tenorite" w:hAnsi="Tenorite"/>
        </w:rPr>
        <w:t xml:space="preserve"> </w:t>
      </w:r>
      <w:proofErr w:type="gramStart"/>
      <w:r w:rsidRPr="005B4285">
        <w:rPr>
          <w:rFonts w:ascii="Tenorite" w:hAnsi="Tenorite"/>
        </w:rPr>
        <w:t>à</w:t>
      </w:r>
      <w:proofErr w:type="gramEnd"/>
      <w:r w:rsidRPr="005B4285">
        <w:rPr>
          <w:rFonts w:ascii="Tenorite" w:hAnsi="Tenorite"/>
        </w:rPr>
        <w:t xml:space="preserve"> teneur élevée en DHA et EPA (JOUE 31/07/2025)</w:t>
      </w:r>
    </w:p>
    <w:p w14:paraId="6B0A9EB3" w14:textId="77777777" w:rsidR="008A1CC0" w:rsidRDefault="008A1CC0" w:rsidP="00B33565">
      <w:pPr>
        <w:shd w:val="clear" w:color="auto" w:fill="FFFFFF"/>
        <w:spacing w:after="0" w:line="240" w:lineRule="auto"/>
        <w:ind w:left="142"/>
        <w:jc w:val="both"/>
        <w:outlineLvl w:val="2"/>
        <w:rPr>
          <w:rFonts w:ascii="Tenorite" w:hAnsi="Tenorite" w:cstheme="minorHAnsi"/>
        </w:rPr>
      </w:pPr>
    </w:p>
    <w:p w14:paraId="19693B20" w14:textId="77777777" w:rsidR="002B7CB6" w:rsidRPr="005B4285" w:rsidRDefault="002B7CB6"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lastRenderedPageBreak/>
        <w:t>ANALYSE ET CONTROLE</w:t>
      </w:r>
    </w:p>
    <w:p w14:paraId="3B4064F8" w14:textId="35B3A435" w:rsidR="00767DBA" w:rsidRPr="005B4285" w:rsidRDefault="00767DBA" w:rsidP="005B4285">
      <w:pPr>
        <w:spacing w:after="0" w:line="240" w:lineRule="auto"/>
        <w:ind w:left="284" w:hanging="142"/>
        <w:jc w:val="both"/>
        <w:rPr>
          <w:rFonts w:ascii="Tenorite" w:hAnsi="Tenorite"/>
          <w:color w:val="C45911" w:themeColor="accent2" w:themeShade="BF"/>
          <w:sz w:val="20"/>
        </w:rPr>
      </w:pPr>
      <w:r w:rsidRPr="005B4285">
        <w:rPr>
          <w:rFonts w:ascii="Tenorite" w:hAnsi="Tenorite"/>
          <w:color w:val="C45911" w:themeColor="accent2" w:themeShade="BF"/>
          <w:sz w:val="20"/>
        </w:rPr>
        <w:t>Analyses</w:t>
      </w:r>
      <w:r w:rsidR="00C92711">
        <w:rPr>
          <w:rFonts w:ascii="Tenorite" w:hAnsi="Tenorite"/>
          <w:color w:val="C45911" w:themeColor="accent2" w:themeShade="BF"/>
          <w:sz w:val="20"/>
        </w:rPr>
        <w:t xml:space="preserve"> /</w:t>
      </w:r>
    </w:p>
    <w:p w14:paraId="306E4FFE" w14:textId="2AF48F04" w:rsidR="00767DBA" w:rsidRDefault="00767DBA" w:rsidP="005B4285">
      <w:pPr>
        <w:spacing w:after="0" w:line="240" w:lineRule="auto"/>
        <w:ind w:left="284" w:hanging="142"/>
        <w:jc w:val="both"/>
        <w:rPr>
          <w:rFonts w:ascii="Tenorite" w:hAnsi="Tenorite"/>
          <w:color w:val="C45911" w:themeColor="accent2" w:themeShade="BF"/>
          <w:sz w:val="20"/>
        </w:rPr>
      </w:pPr>
      <w:r w:rsidRPr="005B4285">
        <w:rPr>
          <w:rFonts w:ascii="Tenorite" w:hAnsi="Tenorite"/>
          <w:color w:val="C45911" w:themeColor="accent2" w:themeShade="BF"/>
          <w:sz w:val="20"/>
        </w:rPr>
        <w:t>Plans de contrôle, PSPC, …</w:t>
      </w:r>
      <w:r w:rsidR="00C92711">
        <w:rPr>
          <w:rFonts w:ascii="Tenorite" w:hAnsi="Tenorite"/>
          <w:color w:val="C45911" w:themeColor="accent2" w:themeShade="BF"/>
          <w:sz w:val="20"/>
        </w:rPr>
        <w:t xml:space="preserve"> /</w:t>
      </w:r>
    </w:p>
    <w:p w14:paraId="3570CAB8" w14:textId="77777777" w:rsidR="002B7CB6" w:rsidRPr="005B4285" w:rsidRDefault="002B7CB6"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BIOCIDES – PRODUITS DE NETTOYAGE</w:t>
      </w:r>
    </w:p>
    <w:p w14:paraId="78E60B0A" w14:textId="77777777" w:rsidR="005B4285" w:rsidRDefault="005B4285" w:rsidP="009F622E">
      <w:pPr>
        <w:pStyle w:val="Textebrut"/>
        <w:ind w:left="142"/>
        <w:jc w:val="both"/>
        <w:rPr>
          <w:rFonts w:ascii="Tenorite" w:hAnsi="Tenorite"/>
          <w:szCs w:val="22"/>
        </w:rPr>
      </w:pPr>
      <w:hyperlink r:id="rId15" w:history="1">
        <w:r w:rsidRPr="009F622E">
          <w:rPr>
            <w:rStyle w:val="Lienhypertexte"/>
            <w:rFonts w:ascii="Tenorite" w:hAnsi="Tenorite"/>
            <w:color w:val="auto"/>
            <w:szCs w:val="22"/>
          </w:rPr>
          <w:t>Décret</w:t>
        </w:r>
      </w:hyperlink>
      <w:r w:rsidRPr="009F622E">
        <w:rPr>
          <w:rFonts w:ascii="Tenorite" w:hAnsi="Tenorite"/>
          <w:szCs w:val="22"/>
        </w:rPr>
        <w:t xml:space="preserve"> n° 2025-629 du 8 juillet 2025 portant diverses dispositions relatives à l'autorisation des produits phytopharmaceutiques (JORF 10/07/2025)</w:t>
      </w:r>
    </w:p>
    <w:p w14:paraId="239C4A25" w14:textId="77777777" w:rsidR="009F622E" w:rsidRPr="009F622E" w:rsidRDefault="009F622E" w:rsidP="009F622E">
      <w:pPr>
        <w:pStyle w:val="Textebrut"/>
        <w:ind w:left="142"/>
        <w:jc w:val="both"/>
        <w:rPr>
          <w:rFonts w:ascii="Tenorite" w:hAnsi="Tenorite"/>
          <w:szCs w:val="22"/>
        </w:rPr>
      </w:pPr>
    </w:p>
    <w:p w14:paraId="146E54F8" w14:textId="77777777" w:rsidR="009F622E" w:rsidRDefault="005B4285" w:rsidP="009F622E">
      <w:pPr>
        <w:shd w:val="clear" w:color="auto" w:fill="FFFFFF"/>
        <w:spacing w:after="0" w:line="240" w:lineRule="auto"/>
        <w:ind w:left="142"/>
        <w:jc w:val="both"/>
        <w:rPr>
          <w:rFonts w:ascii="Tenorite" w:eastAsia="Times New Roman" w:hAnsi="Tenorite" w:cs="Times New Roman"/>
          <w:lang w:eastAsia="fr-FR"/>
        </w:rPr>
      </w:pPr>
      <w:r w:rsidRPr="009F622E">
        <w:rPr>
          <w:rFonts w:ascii="Tenorite" w:eastAsia="Times New Roman" w:hAnsi="Tenorite" w:cs="Times New Roman"/>
          <w:b/>
          <w:bCs/>
          <w:lang w:eastAsia="fr-FR"/>
        </w:rPr>
        <w:t>Note de service </w:t>
      </w:r>
      <w:hyperlink r:id="rId16" w:history="1">
        <w:r w:rsidRPr="009F622E">
          <w:rPr>
            <w:rFonts w:ascii="Tenorite" w:eastAsia="Times New Roman" w:hAnsi="Tenorite" w:cs="Times New Roman"/>
            <w:u w:val="single"/>
            <w:lang w:eastAsia="fr-FR"/>
          </w:rPr>
          <w:t>DGAL/SDSPV/2025-456</w:t>
        </w:r>
      </w:hyperlink>
      <w:r w:rsidRPr="009F622E">
        <w:rPr>
          <w:rFonts w:ascii="Tenorite" w:eastAsia="Times New Roman" w:hAnsi="Tenorite" w:cs="Times New Roman"/>
          <w:lang w:eastAsia="fr-FR"/>
        </w:rPr>
        <w:t> du 11-07-2025 - Liste des produits phytopharmaceutiques de biocontrôle, au titre des articles L.253-5 et L.253-7 du code rural et de la pêche maritime. (DGAL)</w:t>
      </w:r>
    </w:p>
    <w:p w14:paraId="2C426C1B" w14:textId="5A83FC2E" w:rsidR="005B4285" w:rsidRDefault="005B4285" w:rsidP="009F622E">
      <w:pPr>
        <w:shd w:val="clear" w:color="auto" w:fill="FFFFFF"/>
        <w:spacing w:after="0" w:line="240" w:lineRule="auto"/>
        <w:ind w:left="142"/>
        <w:jc w:val="both"/>
        <w:rPr>
          <w:rFonts w:ascii="Tenorite" w:eastAsia="Times New Roman" w:hAnsi="Tenorite" w:cs="Times New Roman"/>
          <w:lang w:eastAsia="fr-FR"/>
        </w:rPr>
      </w:pPr>
      <w:r w:rsidRPr="009F622E">
        <w:rPr>
          <w:rFonts w:ascii="Tenorite" w:eastAsia="Times New Roman" w:hAnsi="Tenorite" w:cs="Times New Roman"/>
          <w:lang w:eastAsia="fr-FR"/>
        </w:rPr>
        <w:br/>
      </w:r>
      <w:hyperlink r:id="rId17" w:history="1">
        <w:r w:rsidRPr="009F622E">
          <w:rPr>
            <w:rFonts w:ascii="Tenorite" w:eastAsia="Times New Roman" w:hAnsi="Tenorite" w:cs="Times New Roman"/>
            <w:b/>
            <w:bCs/>
            <w:u w:val="single"/>
            <w:lang w:eastAsia="fr-FR"/>
          </w:rPr>
          <w:t>Arrêté</w:t>
        </w:r>
      </w:hyperlink>
      <w:r w:rsidRPr="009F622E">
        <w:rPr>
          <w:rFonts w:ascii="Tenorite" w:eastAsia="Times New Roman" w:hAnsi="Tenorite" w:cs="Times New Roman"/>
          <w:lang w:eastAsia="fr-FR"/>
        </w:rPr>
        <w:t> du 16-07-2025 - Arrêté du 16 juillet 2025 portant modification de l'arrêté du 9 mai 2017 définissant les actions standardisées d'économie de produits phytopharmaceutiques (DGAL)</w:t>
      </w:r>
    </w:p>
    <w:p w14:paraId="3770459C" w14:textId="77777777" w:rsidR="009F622E" w:rsidRPr="009F622E" w:rsidRDefault="009F622E" w:rsidP="009F622E">
      <w:pPr>
        <w:shd w:val="clear" w:color="auto" w:fill="FFFFFF"/>
        <w:spacing w:after="0" w:line="240" w:lineRule="auto"/>
        <w:ind w:left="142"/>
        <w:jc w:val="both"/>
        <w:rPr>
          <w:rFonts w:ascii="Tenorite" w:hAnsi="Tenorite"/>
        </w:rPr>
      </w:pPr>
    </w:p>
    <w:p w14:paraId="0B3A09D3" w14:textId="77777777" w:rsidR="005B4285" w:rsidRDefault="005B4285" w:rsidP="009F622E">
      <w:pPr>
        <w:shd w:val="clear" w:color="auto" w:fill="FFFFFF"/>
        <w:spacing w:after="0" w:line="240" w:lineRule="auto"/>
        <w:ind w:left="142"/>
        <w:jc w:val="both"/>
        <w:rPr>
          <w:rFonts w:ascii="Tenorite" w:eastAsia="Times New Roman" w:hAnsi="Tenorite" w:cstheme="minorHAnsi"/>
          <w:lang w:eastAsia="fr-FR"/>
        </w:rPr>
      </w:pPr>
      <w:hyperlink r:id="rId18" w:history="1">
        <w:r w:rsidRPr="009F622E">
          <w:rPr>
            <w:rStyle w:val="Lienhypertexte"/>
            <w:rFonts w:ascii="Tenorite" w:eastAsia="Times New Roman" w:hAnsi="Tenorite" w:cstheme="minorHAnsi"/>
            <w:color w:val="auto"/>
            <w:lang w:eastAsia="fr-FR"/>
          </w:rPr>
          <w:t>Décision</w:t>
        </w:r>
      </w:hyperlink>
      <w:r w:rsidRPr="009F622E">
        <w:rPr>
          <w:rFonts w:ascii="Tenorite" w:eastAsia="Times New Roman" w:hAnsi="Tenorite" w:cstheme="minorHAnsi"/>
          <w:lang w:eastAsia="fr-FR"/>
        </w:rPr>
        <w:t xml:space="preserve"> d’exécution (UE) 2025/1262 de la Commission du 27 juin 2025 relative à la non-approbation de certaines substances actives pour une utilisation dans des produits biocides, conformément au règlement (UE) no 528/2012 du Parlement européen et du Conseil (JOUE 01/07/2025)</w:t>
      </w:r>
    </w:p>
    <w:p w14:paraId="3A6D4FC0" w14:textId="77777777" w:rsidR="009F622E" w:rsidRPr="009F622E" w:rsidRDefault="009F622E" w:rsidP="009F622E">
      <w:pPr>
        <w:shd w:val="clear" w:color="auto" w:fill="FFFFFF"/>
        <w:spacing w:after="0" w:line="240" w:lineRule="auto"/>
        <w:ind w:left="142"/>
        <w:jc w:val="both"/>
        <w:rPr>
          <w:rFonts w:ascii="Tenorite" w:eastAsia="Times New Roman" w:hAnsi="Tenorite" w:cstheme="minorHAnsi"/>
          <w:lang w:eastAsia="fr-FR"/>
        </w:rPr>
      </w:pPr>
    </w:p>
    <w:p w14:paraId="4C97981A" w14:textId="77777777" w:rsidR="005B4285" w:rsidRDefault="005B4285" w:rsidP="009F622E">
      <w:pPr>
        <w:shd w:val="clear" w:color="auto" w:fill="FFFFFF"/>
        <w:spacing w:after="0" w:line="240" w:lineRule="auto"/>
        <w:ind w:left="142"/>
        <w:jc w:val="both"/>
        <w:rPr>
          <w:rFonts w:ascii="Tenorite" w:eastAsia="Times New Roman" w:hAnsi="Tenorite" w:cstheme="minorHAnsi"/>
          <w:lang w:eastAsia="fr-FR"/>
        </w:rPr>
      </w:pPr>
      <w:hyperlink r:id="rId19" w:history="1">
        <w:r w:rsidRPr="009F622E">
          <w:rPr>
            <w:rStyle w:val="Lienhypertexte"/>
            <w:rFonts w:ascii="Tenorite" w:eastAsia="Times New Roman" w:hAnsi="Tenorite" w:cstheme="minorHAnsi"/>
            <w:color w:val="auto"/>
            <w:lang w:eastAsia="fr-FR"/>
          </w:rPr>
          <w:t>Règlement</w:t>
        </w:r>
      </w:hyperlink>
      <w:r w:rsidRPr="009F622E">
        <w:rPr>
          <w:rFonts w:ascii="Tenorite" w:eastAsia="Times New Roman" w:hAnsi="Tenorite" w:cstheme="minorHAnsi"/>
          <w:lang w:eastAsia="fr-FR"/>
        </w:rPr>
        <w:t xml:space="preserve"> d’exécution (UE) 2025/1282 de la Commission du 2 juillet 2025 approuvant le chlorhydrate de 2-méthyl-2,3-dihydro-1,2-thiazol-3-one en tant que substance active destinée à être utilisée dans les produits biocides relevant du type de produits 6 conformément au règlement (UE) no 528/2012 du Parlement européen et du Conseil (JOUE 03/07/2025)</w:t>
      </w:r>
    </w:p>
    <w:p w14:paraId="28059EEE" w14:textId="77777777" w:rsidR="009F622E" w:rsidRPr="009F622E" w:rsidRDefault="009F622E" w:rsidP="009F622E">
      <w:pPr>
        <w:shd w:val="clear" w:color="auto" w:fill="FFFFFF"/>
        <w:spacing w:after="0" w:line="240" w:lineRule="auto"/>
        <w:ind w:left="142"/>
        <w:jc w:val="both"/>
        <w:rPr>
          <w:rFonts w:ascii="Tenorite" w:eastAsia="Times New Roman" w:hAnsi="Tenorite" w:cstheme="minorHAnsi"/>
          <w:lang w:eastAsia="fr-FR"/>
        </w:rPr>
      </w:pPr>
    </w:p>
    <w:p w14:paraId="6EB2FCFA" w14:textId="77777777" w:rsidR="005B4285" w:rsidRDefault="005B4285" w:rsidP="009F622E">
      <w:pPr>
        <w:shd w:val="clear" w:color="auto" w:fill="FFFFFF"/>
        <w:spacing w:after="0" w:line="240" w:lineRule="auto"/>
        <w:ind w:left="142"/>
        <w:jc w:val="both"/>
        <w:rPr>
          <w:rFonts w:ascii="Tenorite" w:eastAsia="Times New Roman" w:hAnsi="Tenorite" w:cstheme="minorHAnsi"/>
          <w:lang w:eastAsia="fr-FR"/>
        </w:rPr>
      </w:pPr>
      <w:hyperlink r:id="rId20" w:history="1">
        <w:r w:rsidRPr="009F622E">
          <w:rPr>
            <w:rStyle w:val="Lienhypertexte"/>
            <w:rFonts w:ascii="Tenorite" w:eastAsia="Times New Roman" w:hAnsi="Tenorite" w:cstheme="minorHAnsi"/>
            <w:color w:val="auto"/>
            <w:lang w:eastAsia="fr-FR"/>
          </w:rPr>
          <w:t>Sous-comité I</w:t>
        </w:r>
      </w:hyperlink>
      <w:r w:rsidRPr="009F622E">
        <w:rPr>
          <w:rFonts w:ascii="Tenorite" w:eastAsia="Times New Roman" w:hAnsi="Tenorite" w:cstheme="minorHAnsi"/>
          <w:lang w:eastAsia="fr-FR"/>
        </w:rPr>
        <w:t xml:space="preserve"> sur la libre circulation des marchandises — Substances dangereuses — Liste des décisions d’autorisation prises par les États de l’AELE membres de l’EEE Conformément à l’article 64, paragraphe 8, du règlement (CE) No 1907/2006 (REACH) au second semestre de 2024 (JOUE 03/07/2025)</w:t>
      </w:r>
    </w:p>
    <w:p w14:paraId="20DB7A9E" w14:textId="77777777" w:rsidR="009F622E" w:rsidRPr="009F622E" w:rsidRDefault="009F622E" w:rsidP="009F622E">
      <w:pPr>
        <w:shd w:val="clear" w:color="auto" w:fill="FFFFFF"/>
        <w:spacing w:after="0" w:line="240" w:lineRule="auto"/>
        <w:ind w:left="142"/>
        <w:jc w:val="both"/>
        <w:rPr>
          <w:rFonts w:ascii="Tenorite" w:eastAsia="Times New Roman" w:hAnsi="Tenorite" w:cstheme="minorHAnsi"/>
          <w:lang w:eastAsia="fr-FR"/>
        </w:rPr>
      </w:pPr>
    </w:p>
    <w:p w14:paraId="639FF35C" w14:textId="77777777" w:rsidR="005B4285" w:rsidRDefault="005B4285" w:rsidP="009F622E">
      <w:pPr>
        <w:shd w:val="clear" w:color="auto" w:fill="FFFFFF"/>
        <w:spacing w:after="0" w:line="240" w:lineRule="auto"/>
        <w:ind w:left="142"/>
        <w:jc w:val="both"/>
        <w:rPr>
          <w:rFonts w:ascii="Tenorite" w:eastAsia="Times New Roman" w:hAnsi="Tenorite" w:cstheme="minorHAnsi"/>
          <w:lang w:eastAsia="fr-FR"/>
        </w:rPr>
      </w:pPr>
      <w:hyperlink r:id="rId21" w:history="1">
        <w:r w:rsidRPr="009F622E">
          <w:rPr>
            <w:rStyle w:val="Lienhypertexte"/>
            <w:rFonts w:ascii="Tenorite" w:eastAsia="Times New Roman" w:hAnsi="Tenorite" w:cstheme="minorHAnsi"/>
            <w:color w:val="auto"/>
            <w:lang w:eastAsia="fr-FR"/>
          </w:rPr>
          <w:t>SOUS-COMITÉ I</w:t>
        </w:r>
      </w:hyperlink>
      <w:r w:rsidRPr="009F622E">
        <w:rPr>
          <w:rFonts w:ascii="Tenorite" w:eastAsia="Times New Roman" w:hAnsi="Tenorite" w:cstheme="minorHAnsi"/>
          <w:lang w:eastAsia="fr-FR"/>
        </w:rPr>
        <w:t xml:space="preserve"> SUR LA LIBRE CIRCULATION DES MARCHANDISES — SUBSTANCES DANGEREUSES — LISTE DES DÉCISIONS D’AUTORISATION PRISES PAR LES ÉTATS DE L’AELE MEMBRES DE L’EEE CONFORMÉMENT À L’ARTICLE 44, PARAGRAPHE 5, DU RÈGLEMENT (UE) No 528/2012 AU SECOND SEMESTRE DE 2024 (JOUE 03/07/2025)</w:t>
      </w:r>
    </w:p>
    <w:p w14:paraId="395A896D" w14:textId="77777777" w:rsidR="009F622E" w:rsidRPr="009F622E" w:rsidRDefault="009F622E" w:rsidP="009F622E">
      <w:pPr>
        <w:shd w:val="clear" w:color="auto" w:fill="FFFFFF"/>
        <w:spacing w:after="0" w:line="240" w:lineRule="auto"/>
        <w:ind w:left="142"/>
        <w:jc w:val="both"/>
        <w:rPr>
          <w:rFonts w:ascii="Tenorite" w:eastAsia="Times New Roman" w:hAnsi="Tenorite" w:cstheme="minorHAnsi"/>
          <w:lang w:eastAsia="fr-FR"/>
        </w:rPr>
      </w:pPr>
    </w:p>
    <w:p w14:paraId="5FCF7FA7" w14:textId="77777777" w:rsidR="009F622E" w:rsidRDefault="005B4285" w:rsidP="009F622E">
      <w:pPr>
        <w:shd w:val="clear" w:color="auto" w:fill="FFFFFF"/>
        <w:spacing w:after="0" w:line="240" w:lineRule="auto"/>
        <w:ind w:left="142"/>
        <w:jc w:val="both"/>
        <w:rPr>
          <w:rFonts w:ascii="Tenorite" w:eastAsia="Times New Roman" w:hAnsi="Tenorite" w:cstheme="minorHAnsi"/>
          <w:lang w:eastAsia="fr-FR"/>
        </w:rPr>
      </w:pPr>
      <w:hyperlink r:id="rId22" w:history="1">
        <w:r w:rsidRPr="009F622E">
          <w:rPr>
            <w:rStyle w:val="Lienhypertexte"/>
            <w:rFonts w:ascii="Tenorite" w:eastAsia="Times New Roman" w:hAnsi="Tenorite" w:cstheme="minorHAnsi"/>
            <w:color w:val="auto"/>
            <w:lang w:eastAsia="fr-FR"/>
          </w:rPr>
          <w:t>Règlement</w:t>
        </w:r>
      </w:hyperlink>
      <w:r w:rsidRPr="009F622E">
        <w:rPr>
          <w:rFonts w:ascii="Tenorite" w:eastAsia="Times New Roman" w:hAnsi="Tenorite" w:cstheme="minorHAnsi"/>
          <w:lang w:eastAsia="fr-FR"/>
        </w:rPr>
        <w:t xml:space="preserve"> d’exécution (UE) 2025/1489 de la Commission du 24 juillet 2025 modifiant le règlement d’exécution (UE) no 540/2011 en ce qui concerne la prolongation des périodes d’approbation des substances actives </w:t>
      </w:r>
      <w:proofErr w:type="spellStart"/>
      <w:r w:rsidRPr="009F622E">
        <w:rPr>
          <w:rFonts w:ascii="Tenorite" w:eastAsia="Times New Roman" w:hAnsi="Tenorite" w:cstheme="minorHAnsi"/>
          <w:lang w:eastAsia="fr-FR"/>
        </w:rPr>
        <w:t>Beauveria</w:t>
      </w:r>
      <w:proofErr w:type="spellEnd"/>
      <w:r w:rsidRPr="009F622E">
        <w:rPr>
          <w:rFonts w:ascii="Tenorite" w:eastAsia="Times New Roman" w:hAnsi="Tenorite" w:cstheme="minorHAnsi"/>
          <w:lang w:eastAsia="fr-FR"/>
        </w:rPr>
        <w:t xml:space="preserve"> </w:t>
      </w:r>
      <w:proofErr w:type="spellStart"/>
      <w:r w:rsidRPr="009F622E">
        <w:rPr>
          <w:rFonts w:ascii="Tenorite" w:eastAsia="Times New Roman" w:hAnsi="Tenorite" w:cstheme="minorHAnsi"/>
          <w:lang w:eastAsia="fr-FR"/>
        </w:rPr>
        <w:t>bassiana</w:t>
      </w:r>
      <w:proofErr w:type="spellEnd"/>
      <w:r w:rsidRPr="009F622E">
        <w:rPr>
          <w:rFonts w:ascii="Tenorite" w:eastAsia="Times New Roman" w:hAnsi="Tenorite" w:cstheme="minorHAnsi"/>
          <w:lang w:eastAsia="fr-FR"/>
        </w:rPr>
        <w:t xml:space="preserve"> — souches ATCC 74040 et GHA, buprofézine, </w:t>
      </w:r>
      <w:proofErr w:type="spellStart"/>
      <w:r w:rsidRPr="009F622E">
        <w:rPr>
          <w:rFonts w:ascii="Tenorite" w:eastAsia="Times New Roman" w:hAnsi="Tenorite" w:cstheme="minorHAnsi"/>
          <w:lang w:eastAsia="fr-FR"/>
        </w:rPr>
        <w:t>clodinafop</w:t>
      </w:r>
      <w:proofErr w:type="spellEnd"/>
      <w:r w:rsidRPr="009F622E">
        <w:rPr>
          <w:rFonts w:ascii="Tenorite" w:eastAsia="Times New Roman" w:hAnsi="Tenorite" w:cstheme="minorHAnsi"/>
          <w:lang w:eastAsia="fr-FR"/>
        </w:rPr>
        <w:t xml:space="preserve">, composés de cuivre, </w:t>
      </w:r>
      <w:proofErr w:type="spellStart"/>
      <w:r w:rsidRPr="009F622E">
        <w:rPr>
          <w:rFonts w:ascii="Tenorite" w:eastAsia="Times New Roman" w:hAnsi="Tenorite" w:cstheme="minorHAnsi"/>
          <w:lang w:eastAsia="fr-FR"/>
        </w:rPr>
        <w:t>cyflumétofène</w:t>
      </w:r>
      <w:proofErr w:type="spellEnd"/>
      <w:r w:rsidRPr="009F622E">
        <w:rPr>
          <w:rFonts w:ascii="Tenorite" w:eastAsia="Times New Roman" w:hAnsi="Tenorite" w:cstheme="minorHAnsi"/>
          <w:lang w:eastAsia="fr-FR"/>
        </w:rPr>
        <w:t xml:space="preserve">, daminozide, </w:t>
      </w:r>
      <w:proofErr w:type="spellStart"/>
      <w:r w:rsidRPr="009F622E">
        <w:rPr>
          <w:rFonts w:ascii="Tenorite" w:eastAsia="Times New Roman" w:hAnsi="Tenorite" w:cstheme="minorHAnsi"/>
          <w:lang w:eastAsia="fr-FR"/>
        </w:rPr>
        <w:t>flupyradifurone</w:t>
      </w:r>
      <w:proofErr w:type="spellEnd"/>
      <w:r w:rsidRPr="009F622E">
        <w:rPr>
          <w:rFonts w:ascii="Tenorite" w:eastAsia="Times New Roman" w:hAnsi="Tenorite" w:cstheme="minorHAnsi"/>
          <w:lang w:eastAsia="fr-FR"/>
        </w:rPr>
        <w:t xml:space="preserve">, virus de la </w:t>
      </w:r>
      <w:proofErr w:type="spellStart"/>
      <w:r w:rsidRPr="009F622E">
        <w:rPr>
          <w:rFonts w:ascii="Tenorite" w:eastAsia="Times New Roman" w:hAnsi="Tenorite" w:cstheme="minorHAnsi"/>
          <w:lang w:eastAsia="fr-FR"/>
        </w:rPr>
        <w:t>polyhédrose</w:t>
      </w:r>
      <w:proofErr w:type="spellEnd"/>
      <w:r w:rsidRPr="009F622E">
        <w:rPr>
          <w:rFonts w:ascii="Tenorite" w:eastAsia="Times New Roman" w:hAnsi="Tenorite" w:cstheme="minorHAnsi"/>
          <w:lang w:eastAsia="fr-FR"/>
        </w:rPr>
        <w:t xml:space="preserve"> nucléaire </w:t>
      </w:r>
      <w:proofErr w:type="spellStart"/>
      <w:r w:rsidRPr="009F622E">
        <w:rPr>
          <w:rFonts w:ascii="Tenorite" w:eastAsia="Times New Roman" w:hAnsi="Tenorite" w:cstheme="minorHAnsi"/>
          <w:lang w:eastAsia="fr-FR"/>
        </w:rPr>
        <w:t>Helicoverpa</w:t>
      </w:r>
      <w:proofErr w:type="spellEnd"/>
      <w:r w:rsidRPr="009F622E">
        <w:rPr>
          <w:rFonts w:ascii="Tenorite" w:eastAsia="Times New Roman" w:hAnsi="Tenorite" w:cstheme="minorHAnsi"/>
          <w:lang w:eastAsia="fr-FR"/>
        </w:rPr>
        <w:t xml:space="preserve"> </w:t>
      </w:r>
      <w:proofErr w:type="spellStart"/>
      <w:r w:rsidRPr="009F622E">
        <w:rPr>
          <w:rFonts w:ascii="Tenorite" w:eastAsia="Times New Roman" w:hAnsi="Tenorite" w:cstheme="minorHAnsi"/>
          <w:lang w:eastAsia="fr-FR"/>
        </w:rPr>
        <w:t>armigera</w:t>
      </w:r>
      <w:proofErr w:type="spellEnd"/>
      <w:r w:rsidRPr="009F622E">
        <w:rPr>
          <w:rFonts w:ascii="Tenorite" w:eastAsia="Times New Roman" w:hAnsi="Tenorite" w:cstheme="minorHAnsi"/>
          <w:lang w:eastAsia="fr-FR"/>
        </w:rPr>
        <w:t xml:space="preserve">, </w:t>
      </w:r>
      <w:proofErr w:type="spellStart"/>
      <w:r w:rsidRPr="009F622E">
        <w:rPr>
          <w:rFonts w:ascii="Tenorite" w:eastAsia="Times New Roman" w:hAnsi="Tenorite" w:cstheme="minorHAnsi"/>
          <w:lang w:eastAsia="fr-FR"/>
        </w:rPr>
        <w:t>mandestrobine</w:t>
      </w:r>
      <w:proofErr w:type="spellEnd"/>
      <w:r w:rsidRPr="009F622E">
        <w:rPr>
          <w:rFonts w:ascii="Tenorite" w:eastAsia="Times New Roman" w:hAnsi="Tenorite" w:cstheme="minorHAnsi"/>
          <w:lang w:eastAsia="fr-FR"/>
        </w:rPr>
        <w:t xml:space="preserve">, </w:t>
      </w:r>
      <w:proofErr w:type="spellStart"/>
      <w:r w:rsidRPr="009F622E">
        <w:rPr>
          <w:rFonts w:ascii="Tenorite" w:eastAsia="Times New Roman" w:hAnsi="Tenorite" w:cstheme="minorHAnsi"/>
          <w:lang w:eastAsia="fr-FR"/>
        </w:rPr>
        <w:t>mandipropamide</w:t>
      </w:r>
      <w:proofErr w:type="spellEnd"/>
      <w:r w:rsidRPr="009F622E">
        <w:rPr>
          <w:rFonts w:ascii="Tenorite" w:eastAsia="Times New Roman" w:hAnsi="Tenorite" w:cstheme="minorHAnsi"/>
          <w:lang w:eastAsia="fr-FR"/>
        </w:rPr>
        <w:t xml:space="preserve">, </w:t>
      </w:r>
      <w:proofErr w:type="spellStart"/>
      <w:r w:rsidRPr="009F622E">
        <w:rPr>
          <w:rFonts w:ascii="Tenorite" w:eastAsia="Times New Roman" w:hAnsi="Tenorite" w:cstheme="minorHAnsi"/>
          <w:lang w:eastAsia="fr-FR"/>
        </w:rPr>
        <w:t>métam</w:t>
      </w:r>
      <w:proofErr w:type="spellEnd"/>
      <w:r w:rsidRPr="009F622E">
        <w:rPr>
          <w:rFonts w:ascii="Tenorite" w:eastAsia="Times New Roman" w:hAnsi="Tenorite" w:cstheme="minorHAnsi"/>
          <w:lang w:eastAsia="fr-FR"/>
        </w:rPr>
        <w:t xml:space="preserve">, pyraclostrobine, </w:t>
      </w:r>
      <w:proofErr w:type="spellStart"/>
      <w:r w:rsidRPr="009F622E">
        <w:rPr>
          <w:rFonts w:ascii="Tenorite" w:eastAsia="Times New Roman" w:hAnsi="Tenorite" w:cstheme="minorHAnsi"/>
          <w:lang w:eastAsia="fr-FR"/>
        </w:rPr>
        <w:t>rescalure</w:t>
      </w:r>
      <w:proofErr w:type="spellEnd"/>
      <w:r w:rsidRPr="009F622E">
        <w:rPr>
          <w:rFonts w:ascii="Tenorite" w:eastAsia="Times New Roman" w:hAnsi="Tenorite" w:cstheme="minorHAnsi"/>
          <w:lang w:eastAsia="fr-FR"/>
        </w:rPr>
        <w:t xml:space="preserve">, </w:t>
      </w:r>
      <w:proofErr w:type="spellStart"/>
      <w:r w:rsidRPr="009F622E">
        <w:rPr>
          <w:rFonts w:ascii="Tenorite" w:eastAsia="Times New Roman" w:hAnsi="Tenorite" w:cstheme="minorHAnsi"/>
          <w:lang w:eastAsia="fr-FR"/>
        </w:rPr>
        <w:t>Spodoptera</w:t>
      </w:r>
      <w:proofErr w:type="spellEnd"/>
      <w:r w:rsidRPr="009F622E">
        <w:rPr>
          <w:rFonts w:ascii="Tenorite" w:eastAsia="Times New Roman" w:hAnsi="Tenorite" w:cstheme="minorHAnsi"/>
          <w:lang w:eastAsia="fr-FR"/>
        </w:rPr>
        <w:t xml:space="preserve"> </w:t>
      </w:r>
      <w:proofErr w:type="spellStart"/>
      <w:r w:rsidRPr="009F622E">
        <w:rPr>
          <w:rFonts w:ascii="Tenorite" w:eastAsia="Times New Roman" w:hAnsi="Tenorite" w:cstheme="minorHAnsi"/>
          <w:lang w:eastAsia="fr-FR"/>
        </w:rPr>
        <w:t>littoralis</w:t>
      </w:r>
      <w:proofErr w:type="spellEnd"/>
      <w:r w:rsidRPr="009F622E">
        <w:rPr>
          <w:rFonts w:ascii="Tenorite" w:eastAsia="Times New Roman" w:hAnsi="Tenorite" w:cstheme="minorHAnsi"/>
          <w:lang w:eastAsia="fr-FR"/>
        </w:rPr>
        <w:t xml:space="preserve"> </w:t>
      </w:r>
      <w:proofErr w:type="spellStart"/>
      <w:r w:rsidRPr="009F622E">
        <w:rPr>
          <w:rFonts w:ascii="Tenorite" w:eastAsia="Times New Roman" w:hAnsi="Tenorite" w:cstheme="minorHAnsi"/>
          <w:lang w:eastAsia="fr-FR"/>
        </w:rPr>
        <w:t>nucleopolyhedrovirus</w:t>
      </w:r>
      <w:proofErr w:type="spellEnd"/>
      <w:r w:rsidRPr="009F622E">
        <w:rPr>
          <w:rFonts w:ascii="Tenorite" w:eastAsia="Times New Roman" w:hAnsi="Tenorite" w:cstheme="minorHAnsi"/>
          <w:lang w:eastAsia="fr-FR"/>
        </w:rPr>
        <w:t xml:space="preserve">, Streptomyces </w:t>
      </w:r>
      <w:proofErr w:type="spellStart"/>
      <w:r w:rsidRPr="009F622E">
        <w:rPr>
          <w:rFonts w:ascii="Tenorite" w:eastAsia="Times New Roman" w:hAnsi="Tenorite" w:cstheme="minorHAnsi"/>
          <w:lang w:eastAsia="fr-FR"/>
        </w:rPr>
        <w:t>lydicus</w:t>
      </w:r>
      <w:proofErr w:type="spellEnd"/>
      <w:r w:rsidRPr="009F622E">
        <w:rPr>
          <w:rFonts w:ascii="Tenorite" w:eastAsia="Times New Roman" w:hAnsi="Tenorite" w:cstheme="minorHAnsi"/>
          <w:lang w:eastAsia="fr-FR"/>
        </w:rPr>
        <w:t xml:space="preserve"> — souche WYEC 108, </w:t>
      </w:r>
      <w:proofErr w:type="spellStart"/>
      <w:r w:rsidRPr="009F622E">
        <w:rPr>
          <w:rFonts w:ascii="Tenorite" w:eastAsia="Times New Roman" w:hAnsi="Tenorite" w:cstheme="minorHAnsi"/>
          <w:lang w:eastAsia="fr-FR"/>
        </w:rPr>
        <w:t>Trichoderma</w:t>
      </w:r>
      <w:proofErr w:type="spellEnd"/>
      <w:r w:rsidRPr="009F622E">
        <w:rPr>
          <w:rFonts w:ascii="Tenorite" w:eastAsia="Times New Roman" w:hAnsi="Tenorite" w:cstheme="minorHAnsi"/>
          <w:lang w:eastAsia="fr-FR"/>
        </w:rPr>
        <w:t xml:space="preserve"> </w:t>
      </w:r>
      <w:proofErr w:type="spellStart"/>
      <w:r w:rsidRPr="009F622E">
        <w:rPr>
          <w:rFonts w:ascii="Tenorite" w:eastAsia="Times New Roman" w:hAnsi="Tenorite" w:cstheme="minorHAnsi"/>
          <w:lang w:eastAsia="fr-FR"/>
        </w:rPr>
        <w:t>asperellum</w:t>
      </w:r>
      <w:proofErr w:type="spellEnd"/>
      <w:r w:rsidRPr="009F622E">
        <w:rPr>
          <w:rFonts w:ascii="Tenorite" w:eastAsia="Times New Roman" w:hAnsi="Tenorite" w:cstheme="minorHAnsi"/>
          <w:lang w:eastAsia="fr-FR"/>
        </w:rPr>
        <w:t xml:space="preserve"> — souche T34 et </w:t>
      </w:r>
      <w:proofErr w:type="spellStart"/>
      <w:r w:rsidRPr="009F622E">
        <w:rPr>
          <w:rFonts w:ascii="Tenorite" w:eastAsia="Times New Roman" w:hAnsi="Tenorite" w:cstheme="minorHAnsi"/>
          <w:lang w:eastAsia="fr-FR"/>
        </w:rPr>
        <w:t>Trichoderma</w:t>
      </w:r>
      <w:proofErr w:type="spellEnd"/>
      <w:r w:rsidRPr="009F622E">
        <w:rPr>
          <w:rFonts w:ascii="Tenorite" w:eastAsia="Times New Roman" w:hAnsi="Tenorite" w:cstheme="minorHAnsi"/>
          <w:lang w:eastAsia="fr-FR"/>
        </w:rPr>
        <w:t xml:space="preserve"> </w:t>
      </w:r>
      <w:proofErr w:type="spellStart"/>
      <w:r w:rsidRPr="009F622E">
        <w:rPr>
          <w:rFonts w:ascii="Tenorite" w:eastAsia="Times New Roman" w:hAnsi="Tenorite" w:cstheme="minorHAnsi"/>
          <w:lang w:eastAsia="fr-FR"/>
        </w:rPr>
        <w:t>atroviride</w:t>
      </w:r>
      <w:proofErr w:type="spellEnd"/>
      <w:r w:rsidRPr="009F622E">
        <w:rPr>
          <w:rFonts w:ascii="Tenorite" w:eastAsia="Times New Roman" w:hAnsi="Tenorite" w:cstheme="minorHAnsi"/>
          <w:lang w:eastAsia="fr-FR"/>
        </w:rPr>
        <w:t xml:space="preserve"> — souche I-1237 (JOUE 25/07/2025)</w:t>
      </w:r>
    </w:p>
    <w:p w14:paraId="0A480A09" w14:textId="366105E8" w:rsidR="005B4285" w:rsidRDefault="005B4285" w:rsidP="009F622E">
      <w:pPr>
        <w:shd w:val="clear" w:color="auto" w:fill="FFFFFF"/>
        <w:spacing w:after="0" w:line="240" w:lineRule="auto"/>
        <w:ind w:left="142"/>
        <w:jc w:val="both"/>
        <w:rPr>
          <w:rFonts w:ascii="Tenorite" w:eastAsia="Times New Roman" w:hAnsi="Tenorite" w:cstheme="minorHAnsi"/>
          <w:lang w:eastAsia="fr-FR"/>
        </w:rPr>
      </w:pPr>
      <w:r w:rsidRPr="009F622E">
        <w:rPr>
          <w:rFonts w:ascii="Tenorite" w:hAnsi="Tenorite"/>
        </w:rPr>
        <w:br/>
      </w:r>
      <w:hyperlink r:id="rId23" w:history="1">
        <w:r w:rsidRPr="009F622E">
          <w:rPr>
            <w:rStyle w:val="Lienhypertexte"/>
            <w:rFonts w:ascii="Tenorite" w:eastAsia="Times New Roman" w:hAnsi="Tenorite" w:cstheme="minorHAnsi"/>
            <w:color w:val="auto"/>
            <w:lang w:eastAsia="fr-FR"/>
          </w:rPr>
          <w:t>Règlement</w:t>
        </w:r>
      </w:hyperlink>
      <w:r w:rsidRPr="009F622E">
        <w:rPr>
          <w:rFonts w:ascii="Tenorite" w:eastAsia="Times New Roman" w:hAnsi="Tenorite" w:cstheme="minorHAnsi"/>
          <w:lang w:eastAsia="fr-FR"/>
        </w:rPr>
        <w:t xml:space="preserve"> d’exécution (UE) 2025/1491 de la Commission du 24 juillet 2025 modifiant le règlement d’exécution (UE) 2024/267 en ce qui concerne les modifications administratives et les modifications mineures de l’autorisation de l’Union pour le produit biocide unique dénommé DEC-SPORE 200 Plus (JOUE 25/07/2025)</w:t>
      </w:r>
    </w:p>
    <w:p w14:paraId="18628473" w14:textId="77777777" w:rsidR="009F622E" w:rsidRPr="009F622E" w:rsidRDefault="009F622E" w:rsidP="009F622E">
      <w:pPr>
        <w:shd w:val="clear" w:color="auto" w:fill="FFFFFF"/>
        <w:spacing w:after="0" w:line="240" w:lineRule="auto"/>
        <w:ind w:left="142"/>
        <w:jc w:val="both"/>
        <w:rPr>
          <w:rFonts w:ascii="Tenorite" w:eastAsia="Times New Roman" w:hAnsi="Tenorite" w:cstheme="minorHAnsi"/>
          <w:lang w:eastAsia="fr-FR"/>
        </w:rPr>
      </w:pPr>
    </w:p>
    <w:p w14:paraId="6630880B" w14:textId="670186DB" w:rsidR="002B7CB6" w:rsidRPr="005B4285" w:rsidRDefault="00767DBA"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SUBSTANCES CHIMIQUES ET CONTAMINANTS</w:t>
      </w:r>
    </w:p>
    <w:p w14:paraId="7175CD6A" w14:textId="77777777" w:rsidR="008A1CC0" w:rsidRDefault="008A1CC0" w:rsidP="009F622E">
      <w:pPr>
        <w:shd w:val="clear" w:color="auto" w:fill="FFFFFF"/>
        <w:spacing w:after="0" w:line="240" w:lineRule="auto"/>
        <w:ind w:left="142"/>
        <w:jc w:val="both"/>
        <w:rPr>
          <w:rFonts w:ascii="Tenorite" w:hAnsi="Tenorite"/>
        </w:rPr>
      </w:pPr>
      <w:hyperlink r:id="rId24" w:tgtFrame="_blank" w:history="1">
        <w:r w:rsidRPr="005B4285">
          <w:rPr>
            <w:rStyle w:val="Lienhypertexte"/>
            <w:rFonts w:ascii="Tenorite" w:hAnsi="Tenorite"/>
          </w:rPr>
          <w:t xml:space="preserve">Avis </w:t>
        </w:r>
        <w:r w:rsidRPr="005B4285">
          <w:rPr>
            <w:rFonts w:ascii="Tenorite" w:hAnsi="Tenorite"/>
          </w:rPr>
          <w:t>relatif à l'élaboration du dossier de demande de fixation de limites maximales de résidus (LMR) de l'huile essentielle (HE) d'arbre à thé en vue d'une inclusion au tableau 1 du règlement (UE) n°37/2010</w:t>
        </w:r>
      </w:hyperlink>
      <w:r w:rsidRPr="005B4285">
        <w:rPr>
          <w:rFonts w:ascii="Tenorite" w:hAnsi="Tenorite"/>
        </w:rPr>
        <w:t xml:space="preserve"> – avis signé le 19/06/2025</w:t>
      </w:r>
    </w:p>
    <w:p w14:paraId="5CF2F977" w14:textId="77777777" w:rsidR="009F622E" w:rsidRPr="005B4285" w:rsidRDefault="009F622E" w:rsidP="009F622E">
      <w:pPr>
        <w:shd w:val="clear" w:color="auto" w:fill="FFFFFF"/>
        <w:spacing w:after="0" w:line="240" w:lineRule="auto"/>
        <w:ind w:left="142"/>
        <w:jc w:val="both"/>
        <w:rPr>
          <w:rFonts w:ascii="Tenorite" w:hAnsi="Tenorite"/>
        </w:rPr>
      </w:pPr>
    </w:p>
    <w:p w14:paraId="4F565A49" w14:textId="77777777" w:rsidR="008A1CC0" w:rsidRDefault="008A1CC0" w:rsidP="009F622E">
      <w:pPr>
        <w:shd w:val="clear" w:color="auto" w:fill="FFFFFF"/>
        <w:spacing w:after="0" w:line="240" w:lineRule="auto"/>
        <w:ind w:left="142"/>
        <w:jc w:val="both"/>
        <w:rPr>
          <w:rFonts w:ascii="Tenorite" w:hAnsi="Tenorite"/>
        </w:rPr>
      </w:pPr>
      <w:hyperlink r:id="rId25" w:tgtFrame="_blank" w:history="1">
        <w:r w:rsidRPr="005B4285">
          <w:rPr>
            <w:rStyle w:val="Lienhypertexte"/>
            <w:rFonts w:ascii="Tenorite" w:hAnsi="Tenorite"/>
          </w:rPr>
          <w:t>Avis relatif à la détermination de valeurs guides sanitaires dans les eaux destinées à la consommation humaine (VGS EDCH) pour les isomères du dinitrotoluène.</w:t>
        </w:r>
      </w:hyperlink>
      <w:r w:rsidRPr="005B4285">
        <w:rPr>
          <w:rFonts w:ascii="Tenorite" w:hAnsi="Tenorite"/>
        </w:rPr>
        <w:t>- avis signé le 27/06/2025</w:t>
      </w:r>
    </w:p>
    <w:p w14:paraId="1AC8F819" w14:textId="77777777" w:rsidR="009F622E" w:rsidRPr="005B4285" w:rsidRDefault="009F622E" w:rsidP="009F622E">
      <w:pPr>
        <w:shd w:val="clear" w:color="auto" w:fill="FFFFFF"/>
        <w:spacing w:after="0" w:line="240" w:lineRule="auto"/>
        <w:ind w:left="142"/>
        <w:jc w:val="both"/>
        <w:rPr>
          <w:rFonts w:ascii="Tenorite" w:hAnsi="Tenorite"/>
        </w:rPr>
      </w:pPr>
    </w:p>
    <w:p w14:paraId="7C95584A" w14:textId="77777777" w:rsidR="009F622E" w:rsidRPr="005B4285" w:rsidRDefault="009F622E" w:rsidP="009F622E">
      <w:pPr>
        <w:shd w:val="clear" w:color="auto" w:fill="FFFFFF"/>
        <w:spacing w:after="0" w:line="240" w:lineRule="auto"/>
        <w:ind w:left="142"/>
        <w:jc w:val="both"/>
        <w:rPr>
          <w:rFonts w:ascii="Tenorite" w:hAnsi="Tenorite"/>
        </w:rPr>
      </w:pPr>
    </w:p>
    <w:p w14:paraId="75E61D11" w14:textId="2667DC9C" w:rsidR="00767DBA" w:rsidRPr="005B4285" w:rsidRDefault="00767DBA" w:rsidP="009F622E">
      <w:pPr>
        <w:spacing w:after="0" w:line="240" w:lineRule="auto"/>
        <w:ind w:left="142"/>
        <w:jc w:val="both"/>
        <w:rPr>
          <w:rFonts w:ascii="Tenorite" w:hAnsi="Tenorite"/>
          <w:color w:val="C45911" w:themeColor="accent2" w:themeShade="BF"/>
          <w:sz w:val="20"/>
        </w:rPr>
      </w:pPr>
      <w:r w:rsidRPr="005B4285">
        <w:rPr>
          <w:rFonts w:ascii="Tenorite" w:hAnsi="Tenorite"/>
          <w:color w:val="C45911" w:themeColor="accent2" w:themeShade="BF"/>
          <w:sz w:val="20"/>
        </w:rPr>
        <w:t>Acrylamide</w:t>
      </w:r>
      <w:r w:rsidR="009F622E">
        <w:rPr>
          <w:rFonts w:ascii="Tenorite" w:hAnsi="Tenorite"/>
          <w:color w:val="C45911" w:themeColor="accent2" w:themeShade="BF"/>
          <w:sz w:val="20"/>
        </w:rPr>
        <w:t xml:space="preserve"> /</w:t>
      </w:r>
    </w:p>
    <w:p w14:paraId="078DE143" w14:textId="4ECC590F" w:rsidR="00767DBA" w:rsidRPr="00C92711" w:rsidRDefault="00767DBA" w:rsidP="009F622E">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BPA</w:t>
      </w:r>
      <w:r w:rsidR="009F622E" w:rsidRPr="00C92711">
        <w:rPr>
          <w:rFonts w:ascii="Tenorite" w:hAnsi="Tenorite"/>
          <w:color w:val="C45911" w:themeColor="accent2" w:themeShade="BF"/>
          <w:szCs w:val="24"/>
        </w:rPr>
        <w:t xml:space="preserve"> /</w:t>
      </w:r>
    </w:p>
    <w:p w14:paraId="200A0031" w14:textId="79157A88" w:rsidR="002B7CB6" w:rsidRPr="00C92711" w:rsidRDefault="002B7CB6" w:rsidP="009F622E">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Dioxine, PCB</w:t>
      </w:r>
      <w:r w:rsidR="00033C9C" w:rsidRPr="00C92711">
        <w:rPr>
          <w:rFonts w:ascii="Tenorite" w:hAnsi="Tenorite"/>
          <w:color w:val="C45911" w:themeColor="accent2" w:themeShade="BF"/>
          <w:szCs w:val="24"/>
        </w:rPr>
        <w:t xml:space="preserve"> /</w:t>
      </w:r>
    </w:p>
    <w:p w14:paraId="0DF8123B" w14:textId="5A2F60BC" w:rsidR="00767DBA" w:rsidRPr="00C92711" w:rsidRDefault="00767DBA" w:rsidP="009F622E">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lastRenderedPageBreak/>
        <w:t>Huiles minérales</w:t>
      </w:r>
      <w:r w:rsidR="00033C9C" w:rsidRPr="00C92711">
        <w:rPr>
          <w:rFonts w:ascii="Tenorite" w:hAnsi="Tenorite"/>
          <w:color w:val="C45911" w:themeColor="accent2" w:themeShade="BF"/>
          <w:szCs w:val="24"/>
        </w:rPr>
        <w:t xml:space="preserve"> /</w:t>
      </w:r>
    </w:p>
    <w:p w14:paraId="75D86915" w14:textId="77EFC9E5" w:rsidR="002B7CB6" w:rsidRPr="00C92711" w:rsidRDefault="002B7CB6" w:rsidP="009F622E">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Médicaments vétérinaires</w:t>
      </w:r>
      <w:r w:rsidR="00033C9C" w:rsidRPr="00C92711">
        <w:rPr>
          <w:rFonts w:ascii="Tenorite" w:hAnsi="Tenorite"/>
          <w:color w:val="C45911" w:themeColor="accent2" w:themeShade="BF"/>
          <w:szCs w:val="24"/>
        </w:rPr>
        <w:t xml:space="preserve"> /</w:t>
      </w:r>
    </w:p>
    <w:p w14:paraId="0A443900" w14:textId="2864303D" w:rsidR="002B7CB6" w:rsidRPr="00C92711" w:rsidRDefault="002B7CB6" w:rsidP="009F622E">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Métaux lourds</w:t>
      </w:r>
      <w:r w:rsidR="00033C9C" w:rsidRPr="00C92711">
        <w:rPr>
          <w:rFonts w:ascii="Tenorite" w:hAnsi="Tenorite"/>
          <w:color w:val="C45911" w:themeColor="accent2" w:themeShade="BF"/>
          <w:szCs w:val="24"/>
        </w:rPr>
        <w:t xml:space="preserve"> /</w:t>
      </w:r>
    </w:p>
    <w:p w14:paraId="764B7DE7" w14:textId="32B574BC" w:rsidR="002B7CB6" w:rsidRPr="00C92711" w:rsidRDefault="002B7CB6" w:rsidP="009F622E">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Mycotoxines</w:t>
      </w:r>
      <w:r w:rsidR="00033C9C" w:rsidRPr="00C92711">
        <w:rPr>
          <w:rFonts w:ascii="Tenorite" w:hAnsi="Tenorite"/>
          <w:color w:val="C45911" w:themeColor="accent2" w:themeShade="BF"/>
          <w:szCs w:val="24"/>
        </w:rPr>
        <w:t xml:space="preserve"> /</w:t>
      </w:r>
    </w:p>
    <w:p w14:paraId="71D5CD6D" w14:textId="0BB63FDD" w:rsidR="00767DBA" w:rsidRDefault="00767DBA" w:rsidP="009F622E">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 xml:space="preserve">Perturbateurs </w:t>
      </w:r>
      <w:r w:rsidR="00186F4B" w:rsidRPr="00C92711">
        <w:rPr>
          <w:rFonts w:ascii="Tenorite" w:hAnsi="Tenorite"/>
          <w:color w:val="C45911" w:themeColor="accent2" w:themeShade="BF"/>
          <w:szCs w:val="24"/>
        </w:rPr>
        <w:t>endocriniens /</w:t>
      </w:r>
    </w:p>
    <w:p w14:paraId="06F6B3F2" w14:textId="77777777" w:rsidR="00186F4B" w:rsidRPr="00C92711" w:rsidRDefault="00186F4B" w:rsidP="009F622E">
      <w:pPr>
        <w:spacing w:after="0" w:line="240" w:lineRule="auto"/>
        <w:ind w:left="142"/>
        <w:jc w:val="both"/>
        <w:rPr>
          <w:rFonts w:ascii="Tenorite" w:hAnsi="Tenorite"/>
          <w:color w:val="C45911" w:themeColor="accent2" w:themeShade="BF"/>
          <w:szCs w:val="24"/>
        </w:rPr>
      </w:pPr>
    </w:p>
    <w:p w14:paraId="4929FD01" w14:textId="0CD210A9" w:rsidR="002B7CB6" w:rsidRPr="00C92711" w:rsidRDefault="002B7CB6" w:rsidP="009F622E">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Pesticides</w:t>
      </w:r>
    </w:p>
    <w:p w14:paraId="457C4FCE" w14:textId="77777777" w:rsidR="009F622E" w:rsidRDefault="009F622E" w:rsidP="009F622E">
      <w:pPr>
        <w:shd w:val="clear" w:color="auto" w:fill="FFFFFF"/>
        <w:spacing w:after="0" w:line="240" w:lineRule="auto"/>
        <w:ind w:left="142"/>
        <w:jc w:val="both"/>
        <w:rPr>
          <w:rFonts w:ascii="Tenorite" w:hAnsi="Tenorite"/>
          <w:szCs w:val="21"/>
        </w:rPr>
      </w:pPr>
      <w:hyperlink r:id="rId26" w:history="1">
        <w:r w:rsidRPr="005B4285">
          <w:rPr>
            <w:rStyle w:val="Lienhypertexte"/>
            <w:rFonts w:ascii="Tenorite" w:hAnsi="Tenorite"/>
            <w:szCs w:val="21"/>
          </w:rPr>
          <w:t>Règlement</w:t>
        </w:r>
      </w:hyperlink>
      <w:r w:rsidRPr="005B4285">
        <w:rPr>
          <w:rFonts w:ascii="Tenorite" w:hAnsi="Tenorite"/>
          <w:szCs w:val="21"/>
        </w:rPr>
        <w:t xml:space="preserve"> (UE) 2025/1212 de la Commission du 24 juin 2025 modifiant l’annexe II du règlement (CE) no 396/2005 du Parlement européen et du Conseil en ce qui concerne les limites maximales applicables aux résidus d’acétamipride présents dans ou sur certains produits (JOUE 31/07/2025)</w:t>
      </w:r>
    </w:p>
    <w:p w14:paraId="58E06441" w14:textId="77777777" w:rsidR="009F622E" w:rsidRDefault="009F622E" w:rsidP="009F622E">
      <w:pPr>
        <w:shd w:val="clear" w:color="auto" w:fill="FFFFFF"/>
        <w:spacing w:after="0" w:line="240" w:lineRule="auto"/>
        <w:ind w:left="142"/>
        <w:jc w:val="both"/>
        <w:rPr>
          <w:rFonts w:ascii="Tenorite" w:hAnsi="Tenorite"/>
          <w:szCs w:val="21"/>
        </w:rPr>
      </w:pPr>
    </w:p>
    <w:p w14:paraId="5DA71435" w14:textId="77777777" w:rsidR="009F622E" w:rsidRDefault="009F622E" w:rsidP="009F622E">
      <w:pPr>
        <w:shd w:val="clear" w:color="auto" w:fill="FFFFFF"/>
        <w:spacing w:after="0" w:line="240" w:lineRule="auto"/>
        <w:ind w:left="142"/>
        <w:jc w:val="both"/>
        <w:rPr>
          <w:rFonts w:ascii="Tenorite" w:hAnsi="Tenorite"/>
        </w:rPr>
      </w:pPr>
      <w:hyperlink r:id="rId27" w:history="1">
        <w:r w:rsidRPr="005B4285">
          <w:rPr>
            <w:rStyle w:val="Lienhypertexte"/>
            <w:rFonts w:ascii="Tenorite" w:hAnsi="Tenorite"/>
          </w:rPr>
          <w:t>Règlement</w:t>
        </w:r>
      </w:hyperlink>
      <w:r w:rsidRPr="005B4285">
        <w:rPr>
          <w:rFonts w:ascii="Tenorite" w:hAnsi="Tenorite"/>
        </w:rPr>
        <w:t xml:space="preserve"> (UE) 2025/1305 de la Commission du 2 juillet 2025 modifiant les annexes II, III et IV du règlement (CE) no 396/2005 du Parlement européen et du Conseil en ce qui concerne les limites maximales applicables aux résidus d’amidosulfuron, d’azoxystrobine, d’hexythiazox, d’</w:t>
      </w:r>
      <w:proofErr w:type="spellStart"/>
      <w:r w:rsidRPr="005B4285">
        <w:rPr>
          <w:rFonts w:ascii="Tenorite" w:hAnsi="Tenorite"/>
        </w:rPr>
        <w:t>isoxabène</w:t>
      </w:r>
      <w:proofErr w:type="spellEnd"/>
      <w:r w:rsidRPr="005B4285">
        <w:rPr>
          <w:rFonts w:ascii="Tenorite" w:hAnsi="Tenorite"/>
        </w:rPr>
        <w:t xml:space="preserve">, de piclorame, de </w:t>
      </w:r>
      <w:proofErr w:type="spellStart"/>
      <w:r w:rsidRPr="005B4285">
        <w:rPr>
          <w:rFonts w:ascii="Tenorite" w:hAnsi="Tenorite"/>
        </w:rPr>
        <w:t>propamocarbe</w:t>
      </w:r>
      <w:proofErr w:type="spellEnd"/>
      <w:r w:rsidRPr="005B4285">
        <w:rPr>
          <w:rFonts w:ascii="Tenorite" w:hAnsi="Tenorite"/>
        </w:rPr>
        <w:t>, de thiosulfate de sodium et d’argent ainsi que de téfluthrine présents dans ou sur certains produits (JOUE 03/07/2025)</w:t>
      </w:r>
    </w:p>
    <w:p w14:paraId="00D3EFE7" w14:textId="77777777" w:rsidR="009F622E" w:rsidRPr="005B4285" w:rsidRDefault="009F622E" w:rsidP="009F622E">
      <w:pPr>
        <w:shd w:val="clear" w:color="auto" w:fill="FFFFFF"/>
        <w:spacing w:after="0" w:line="240" w:lineRule="auto"/>
        <w:ind w:left="142"/>
        <w:jc w:val="both"/>
        <w:rPr>
          <w:rFonts w:ascii="Tenorite" w:hAnsi="Tenorite"/>
          <w:szCs w:val="21"/>
        </w:rPr>
      </w:pPr>
    </w:p>
    <w:p w14:paraId="7B15C6BD" w14:textId="6730DC59" w:rsidR="00767DBA" w:rsidRPr="00C92711" w:rsidRDefault="00767DBA" w:rsidP="009F622E">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PFAS</w:t>
      </w:r>
      <w:r w:rsidR="009F622E" w:rsidRPr="00C92711">
        <w:rPr>
          <w:rFonts w:ascii="Tenorite" w:hAnsi="Tenorite"/>
          <w:color w:val="C45911" w:themeColor="accent2" w:themeShade="BF"/>
          <w:szCs w:val="24"/>
        </w:rPr>
        <w:t xml:space="preserve"> ET POP</w:t>
      </w:r>
    </w:p>
    <w:p w14:paraId="2D4146A4" w14:textId="77777777" w:rsidR="009F622E" w:rsidRDefault="009F622E" w:rsidP="009F622E">
      <w:pPr>
        <w:shd w:val="clear" w:color="auto" w:fill="FFFFFF"/>
        <w:spacing w:after="0" w:line="240" w:lineRule="auto"/>
        <w:ind w:left="142"/>
        <w:jc w:val="both"/>
        <w:rPr>
          <w:rFonts w:ascii="Tenorite" w:hAnsi="Tenorite"/>
          <w:szCs w:val="21"/>
        </w:rPr>
      </w:pPr>
      <w:hyperlink r:id="rId28" w:history="1">
        <w:r w:rsidRPr="005B4285">
          <w:rPr>
            <w:rStyle w:val="Lienhypertexte"/>
            <w:rFonts w:ascii="Tenorite" w:hAnsi="Tenorite"/>
            <w:szCs w:val="21"/>
          </w:rPr>
          <w:t>Règlement</w:t>
        </w:r>
      </w:hyperlink>
      <w:r w:rsidRPr="005B4285">
        <w:rPr>
          <w:rFonts w:ascii="Tenorite" w:hAnsi="Tenorite"/>
          <w:szCs w:val="21"/>
        </w:rPr>
        <w:t xml:space="preserve"> délégué (UE) 2025/843 de la Commission du 5 mai 2025 modifiant l’annexe I du règlement (UE) 2019/1021 du Parlement européen et du Conseil en ce qui concerne l’UV-328 (JOUE 15/07/2025)</w:t>
      </w:r>
    </w:p>
    <w:p w14:paraId="74B27901" w14:textId="77777777" w:rsidR="009F622E" w:rsidRDefault="009F622E" w:rsidP="009F622E">
      <w:pPr>
        <w:shd w:val="clear" w:color="auto" w:fill="FFFFFF"/>
        <w:spacing w:after="0" w:line="240" w:lineRule="auto"/>
        <w:ind w:left="142"/>
        <w:jc w:val="both"/>
        <w:rPr>
          <w:rFonts w:ascii="Tenorite" w:hAnsi="Tenorite"/>
          <w:szCs w:val="21"/>
        </w:rPr>
      </w:pPr>
    </w:p>
    <w:p w14:paraId="5404EAE9" w14:textId="77777777" w:rsidR="009F622E" w:rsidRDefault="009F622E" w:rsidP="009F622E">
      <w:pPr>
        <w:shd w:val="clear" w:color="auto" w:fill="FFFFFF"/>
        <w:spacing w:after="0" w:line="240" w:lineRule="auto"/>
        <w:ind w:left="142"/>
        <w:jc w:val="both"/>
        <w:rPr>
          <w:rFonts w:ascii="Tenorite" w:hAnsi="Tenorite"/>
          <w:szCs w:val="21"/>
        </w:rPr>
      </w:pPr>
      <w:hyperlink r:id="rId29" w:history="1">
        <w:r w:rsidRPr="005B4285">
          <w:rPr>
            <w:rStyle w:val="Lienhypertexte"/>
            <w:rFonts w:ascii="Tenorite" w:hAnsi="Tenorite"/>
            <w:szCs w:val="21"/>
          </w:rPr>
          <w:t>Règlement</w:t>
        </w:r>
      </w:hyperlink>
      <w:r w:rsidRPr="005B4285">
        <w:rPr>
          <w:rFonts w:ascii="Tenorite" w:hAnsi="Tenorite"/>
          <w:szCs w:val="21"/>
        </w:rPr>
        <w:t xml:space="preserve"> délégué (UE) 2025/1399 de la Commission du 5 mai 2025 modifiant l’annexe I du règlement (UE) 2019/1021 du Parlement européen et du Conseil en ce qui concerne l’acide </w:t>
      </w:r>
      <w:proofErr w:type="spellStart"/>
      <w:r w:rsidRPr="005B4285">
        <w:rPr>
          <w:rFonts w:ascii="Tenorite" w:hAnsi="Tenorite"/>
          <w:szCs w:val="21"/>
        </w:rPr>
        <w:t>perfluorooctanoïque</w:t>
      </w:r>
      <w:proofErr w:type="spellEnd"/>
      <w:r w:rsidRPr="005B4285">
        <w:rPr>
          <w:rFonts w:ascii="Tenorite" w:hAnsi="Tenorite"/>
          <w:szCs w:val="21"/>
        </w:rPr>
        <w:t xml:space="preserve"> (PFOA), ses sels et les composés apparentés au PFOA (JOUE 14/07/2025)</w:t>
      </w:r>
    </w:p>
    <w:p w14:paraId="6A48F2E4" w14:textId="77777777" w:rsidR="00186F4B" w:rsidRDefault="00186F4B" w:rsidP="009F622E">
      <w:pPr>
        <w:shd w:val="clear" w:color="auto" w:fill="FFFFFF"/>
        <w:spacing w:after="0" w:line="240" w:lineRule="auto"/>
        <w:ind w:left="142"/>
        <w:jc w:val="both"/>
        <w:rPr>
          <w:rFonts w:ascii="Tenorite" w:hAnsi="Tenorite"/>
          <w:szCs w:val="21"/>
        </w:rPr>
      </w:pPr>
    </w:p>
    <w:p w14:paraId="350CF74E" w14:textId="77777777" w:rsidR="009F622E" w:rsidRPr="005B4285" w:rsidRDefault="009F622E" w:rsidP="009F622E">
      <w:pPr>
        <w:shd w:val="clear" w:color="auto" w:fill="FFFFFF"/>
        <w:spacing w:after="0" w:line="240" w:lineRule="auto"/>
        <w:ind w:left="142"/>
        <w:jc w:val="both"/>
        <w:rPr>
          <w:rFonts w:ascii="Tenorite" w:hAnsi="Tenorite"/>
        </w:rPr>
      </w:pPr>
      <w:hyperlink r:id="rId30" w:tgtFrame="_blank" w:history="1">
        <w:r w:rsidRPr="005B4285">
          <w:rPr>
            <w:rStyle w:val="Lienhypertexte"/>
            <w:rFonts w:ascii="Tenorite" w:hAnsi="Tenorite"/>
          </w:rPr>
          <w:t>Avis et rapports relatifs à l’élaboration de VTR long terme pour plusieurs perfluorés</w:t>
        </w:r>
      </w:hyperlink>
      <w:r w:rsidRPr="005B4285">
        <w:rPr>
          <w:rFonts w:ascii="Tenorite" w:hAnsi="Tenorite"/>
        </w:rPr>
        <w:t xml:space="preserve"> – avis signé le 11/06/2025</w:t>
      </w:r>
    </w:p>
    <w:p w14:paraId="694C740D" w14:textId="77777777" w:rsidR="009F622E" w:rsidRDefault="009F622E" w:rsidP="009F622E">
      <w:pPr>
        <w:shd w:val="clear" w:color="auto" w:fill="FFFFFF"/>
        <w:spacing w:after="0" w:line="240" w:lineRule="auto"/>
        <w:ind w:left="142"/>
        <w:jc w:val="both"/>
        <w:rPr>
          <w:rFonts w:ascii="Tenorite" w:hAnsi="Tenorite"/>
          <w:szCs w:val="21"/>
        </w:rPr>
      </w:pPr>
    </w:p>
    <w:p w14:paraId="6ADBF364" w14:textId="73B34552" w:rsidR="002B7CB6" w:rsidRPr="00C92711" w:rsidRDefault="002B7CB6" w:rsidP="009F622E">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Radioactivité</w:t>
      </w:r>
      <w:r w:rsidR="00033C9C" w:rsidRPr="00C92711">
        <w:rPr>
          <w:rFonts w:ascii="Tenorite" w:hAnsi="Tenorite"/>
          <w:color w:val="C45911" w:themeColor="accent2" w:themeShade="BF"/>
          <w:szCs w:val="24"/>
        </w:rPr>
        <w:t xml:space="preserve"> /</w:t>
      </w:r>
    </w:p>
    <w:p w14:paraId="1012E99E" w14:textId="77777777" w:rsidR="005F3EA3" w:rsidRPr="005B4285" w:rsidRDefault="005F3EA3" w:rsidP="005B4285">
      <w:pPr>
        <w:spacing w:after="0" w:line="240" w:lineRule="auto"/>
        <w:ind w:left="284" w:hanging="142"/>
        <w:jc w:val="both"/>
        <w:rPr>
          <w:rFonts w:ascii="Tenorite" w:eastAsia="MS Gothic" w:hAnsi="Tenorite" w:cs="Segoe UI Symbol"/>
          <w:b/>
          <w:sz w:val="28"/>
        </w:rPr>
      </w:pPr>
    </w:p>
    <w:p w14:paraId="2115C4F0" w14:textId="01B12948" w:rsidR="002B7CB6" w:rsidRPr="005B4285" w:rsidRDefault="002B7CB6"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 xml:space="preserve">ETIQUETAGE </w:t>
      </w:r>
      <w:r w:rsidR="00767DBA" w:rsidRPr="005B4285">
        <w:rPr>
          <w:rFonts w:ascii="Tenorite" w:hAnsi="Tenorite"/>
          <w:b/>
          <w:color w:val="833C0B" w:themeColor="accent2" w:themeShade="80"/>
          <w:sz w:val="24"/>
        </w:rPr>
        <w:t>ET PRESENTATION DES PRODUITS</w:t>
      </w:r>
    </w:p>
    <w:p w14:paraId="13F8048B" w14:textId="27759982" w:rsidR="00767DBA" w:rsidRPr="00C92711" w:rsidRDefault="00767DBA" w:rsidP="005B4285">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Environnemental</w:t>
      </w:r>
      <w:r w:rsidR="00C84EFE" w:rsidRPr="00C92711">
        <w:rPr>
          <w:rFonts w:ascii="Tenorite" w:hAnsi="Tenorite"/>
          <w:color w:val="C45911" w:themeColor="accent2" w:themeShade="BF"/>
          <w:szCs w:val="24"/>
        </w:rPr>
        <w:t xml:space="preserve"> /</w:t>
      </w:r>
    </w:p>
    <w:p w14:paraId="5B30DC1D" w14:textId="34635A9E" w:rsidR="002F17D1" w:rsidRPr="00C92711" w:rsidRDefault="002B7CB6" w:rsidP="005B4285">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Général</w:t>
      </w:r>
      <w:r w:rsidR="00C84EFE" w:rsidRPr="00C92711">
        <w:rPr>
          <w:rFonts w:ascii="Tenorite" w:hAnsi="Tenorite"/>
          <w:color w:val="C45911" w:themeColor="accent2" w:themeShade="BF"/>
          <w:szCs w:val="24"/>
        </w:rPr>
        <w:t xml:space="preserve"> /</w:t>
      </w:r>
    </w:p>
    <w:p w14:paraId="7C7935D3" w14:textId="06233BF7" w:rsidR="002B7CB6" w:rsidRPr="00C92711" w:rsidRDefault="002B7CB6" w:rsidP="005B4285">
      <w:pPr>
        <w:spacing w:after="0" w:line="240" w:lineRule="auto"/>
        <w:ind w:left="142"/>
        <w:jc w:val="both"/>
        <w:rPr>
          <w:rFonts w:ascii="Tenorite" w:hAnsi="Tenorite"/>
          <w:color w:val="C45911" w:themeColor="accent2" w:themeShade="BF"/>
          <w:szCs w:val="24"/>
        </w:rPr>
      </w:pPr>
      <w:r w:rsidRPr="00C92711">
        <w:rPr>
          <w:rFonts w:ascii="Tenorite" w:hAnsi="Tenorite"/>
          <w:color w:val="C45911" w:themeColor="accent2" w:themeShade="BF"/>
          <w:szCs w:val="24"/>
        </w:rPr>
        <w:t>Nutritionnel</w:t>
      </w:r>
      <w:r w:rsidR="00C84EFE" w:rsidRPr="00C92711">
        <w:rPr>
          <w:rFonts w:ascii="Tenorite" w:hAnsi="Tenorite"/>
          <w:color w:val="C45911" w:themeColor="accent2" w:themeShade="BF"/>
          <w:szCs w:val="24"/>
        </w:rPr>
        <w:t xml:space="preserve"> /</w:t>
      </w:r>
    </w:p>
    <w:p w14:paraId="5112D211" w14:textId="77777777" w:rsidR="002F17D1" w:rsidRPr="005B4285" w:rsidRDefault="002F17D1" w:rsidP="005B4285">
      <w:pPr>
        <w:spacing w:after="0" w:line="240" w:lineRule="auto"/>
        <w:ind w:left="142"/>
        <w:jc w:val="both"/>
        <w:rPr>
          <w:rFonts w:ascii="Tenorite" w:hAnsi="Tenorite"/>
          <w:color w:val="C45911" w:themeColor="accent2" w:themeShade="BF"/>
          <w:sz w:val="20"/>
        </w:rPr>
      </w:pPr>
    </w:p>
    <w:p w14:paraId="5A11BE1A" w14:textId="77777777" w:rsidR="002B7CB6" w:rsidRPr="005B4285" w:rsidRDefault="002B7CB6"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 xml:space="preserve">HYGIENE ET SECURITE DES ALIMENTS </w:t>
      </w:r>
    </w:p>
    <w:p w14:paraId="75B6C2CF" w14:textId="14CFEE95" w:rsidR="002F17D1" w:rsidRPr="00C92711" w:rsidRDefault="002B7CB6" w:rsidP="005B4285">
      <w:pPr>
        <w:spacing w:after="0" w:line="240" w:lineRule="auto"/>
        <w:ind w:left="284" w:hanging="142"/>
        <w:jc w:val="both"/>
        <w:rPr>
          <w:rFonts w:ascii="Tenorite" w:hAnsi="Tenorite"/>
          <w:color w:val="C45911" w:themeColor="accent2" w:themeShade="BF"/>
          <w:szCs w:val="24"/>
        </w:rPr>
      </w:pPr>
      <w:r w:rsidRPr="00C92711">
        <w:rPr>
          <w:rFonts w:ascii="Tenorite" w:hAnsi="Tenorite"/>
          <w:color w:val="C45911" w:themeColor="accent2" w:themeShade="BF"/>
          <w:szCs w:val="24"/>
        </w:rPr>
        <w:t>Agrément sanitaire</w:t>
      </w:r>
      <w:r w:rsidR="00C84EFE" w:rsidRPr="00C92711">
        <w:rPr>
          <w:rFonts w:ascii="Tenorite" w:hAnsi="Tenorite"/>
          <w:color w:val="C45911" w:themeColor="accent2" w:themeShade="BF"/>
          <w:szCs w:val="24"/>
        </w:rPr>
        <w:t xml:space="preserve"> /</w:t>
      </w:r>
    </w:p>
    <w:p w14:paraId="22B99406" w14:textId="17C81EFF" w:rsidR="00767DBA" w:rsidRPr="00C92711" w:rsidRDefault="00767DBA" w:rsidP="005B4285">
      <w:pPr>
        <w:spacing w:after="0" w:line="240" w:lineRule="auto"/>
        <w:ind w:left="284" w:hanging="142"/>
        <w:jc w:val="both"/>
        <w:rPr>
          <w:rFonts w:ascii="Tenorite" w:hAnsi="Tenorite"/>
          <w:color w:val="C45911" w:themeColor="accent2" w:themeShade="BF"/>
          <w:szCs w:val="24"/>
        </w:rPr>
      </w:pPr>
      <w:r w:rsidRPr="00C92711">
        <w:rPr>
          <w:rFonts w:ascii="Tenorite" w:hAnsi="Tenorite"/>
          <w:color w:val="C45911" w:themeColor="accent2" w:themeShade="BF"/>
          <w:szCs w:val="24"/>
        </w:rPr>
        <w:t>Allergènes</w:t>
      </w:r>
      <w:r w:rsidR="00C84EFE" w:rsidRPr="00C92711">
        <w:rPr>
          <w:rFonts w:ascii="Tenorite" w:hAnsi="Tenorite"/>
          <w:color w:val="C45911" w:themeColor="accent2" w:themeShade="BF"/>
          <w:szCs w:val="24"/>
        </w:rPr>
        <w:t xml:space="preserve"> /</w:t>
      </w:r>
    </w:p>
    <w:p w14:paraId="7F5C7775" w14:textId="54918776" w:rsidR="002F17D1" w:rsidRDefault="002B7CB6" w:rsidP="005B4285">
      <w:pPr>
        <w:spacing w:after="0" w:line="240" w:lineRule="auto"/>
        <w:ind w:left="284" w:hanging="142"/>
        <w:jc w:val="both"/>
        <w:rPr>
          <w:rFonts w:ascii="Tenorite" w:hAnsi="Tenorite"/>
          <w:color w:val="C45911" w:themeColor="accent2" w:themeShade="BF"/>
          <w:szCs w:val="24"/>
        </w:rPr>
      </w:pPr>
      <w:r w:rsidRPr="00C92711">
        <w:rPr>
          <w:rFonts w:ascii="Tenorite" w:hAnsi="Tenorite"/>
          <w:color w:val="C45911" w:themeColor="accent2" w:themeShade="BF"/>
          <w:szCs w:val="24"/>
        </w:rPr>
        <w:t>Bulletins épidémiologiques</w:t>
      </w:r>
      <w:r w:rsidR="00C84EFE" w:rsidRPr="00C92711">
        <w:rPr>
          <w:rFonts w:ascii="Tenorite" w:hAnsi="Tenorite"/>
          <w:color w:val="C45911" w:themeColor="accent2" w:themeShade="BF"/>
          <w:szCs w:val="24"/>
        </w:rPr>
        <w:t xml:space="preserve"> /</w:t>
      </w:r>
    </w:p>
    <w:p w14:paraId="0E20CFA3" w14:textId="77777777" w:rsidR="00186F4B" w:rsidRPr="00C92711" w:rsidRDefault="00186F4B" w:rsidP="005B4285">
      <w:pPr>
        <w:spacing w:after="0" w:line="240" w:lineRule="auto"/>
        <w:ind w:left="284" w:hanging="142"/>
        <w:jc w:val="both"/>
        <w:rPr>
          <w:rFonts w:ascii="Tenorite" w:hAnsi="Tenorite"/>
          <w:color w:val="C45911" w:themeColor="accent2" w:themeShade="BF"/>
          <w:szCs w:val="24"/>
        </w:rPr>
      </w:pPr>
    </w:p>
    <w:p w14:paraId="5C4E0C63" w14:textId="435E840F" w:rsidR="00767DBA" w:rsidRPr="00C84EFE" w:rsidRDefault="00767DBA" w:rsidP="00C84EFE">
      <w:pPr>
        <w:spacing w:after="0" w:line="240" w:lineRule="auto"/>
        <w:ind w:left="284" w:hanging="142"/>
        <w:jc w:val="both"/>
        <w:rPr>
          <w:rFonts w:ascii="Tenorite" w:hAnsi="Tenorite"/>
          <w:color w:val="C45911" w:themeColor="accent2" w:themeShade="BF"/>
        </w:rPr>
      </w:pPr>
      <w:proofErr w:type="spellStart"/>
      <w:r w:rsidRPr="00C84EFE">
        <w:rPr>
          <w:rFonts w:ascii="Tenorite" w:hAnsi="Tenorite"/>
          <w:color w:val="C45911" w:themeColor="accent2" w:themeShade="BF"/>
        </w:rPr>
        <w:t>BuSCA</w:t>
      </w:r>
      <w:proofErr w:type="spellEnd"/>
    </w:p>
    <w:p w14:paraId="12F8B357" w14:textId="77777777" w:rsidR="008A1CC0" w:rsidRDefault="008A1CC0" w:rsidP="00C84EFE">
      <w:pPr>
        <w:shd w:val="clear" w:color="auto" w:fill="FFFFFF"/>
        <w:spacing w:after="0" w:line="240" w:lineRule="auto"/>
        <w:ind w:left="142"/>
        <w:jc w:val="both"/>
        <w:rPr>
          <w:rFonts w:ascii="Tenorite" w:eastAsia="SimSun" w:hAnsi="Tenorite" w:cs="SimianText-Orangutan"/>
          <w:lang w:eastAsia="zh-CN"/>
        </w:rPr>
      </w:pPr>
      <w:hyperlink r:id="rId31" w:history="1">
        <w:r w:rsidRPr="00C84EFE">
          <w:rPr>
            <w:rStyle w:val="Lienhypertexte"/>
            <w:rFonts w:ascii="Tenorite" w:eastAsia="SimSun" w:hAnsi="Tenorite" w:cs="SimianText-Orangutan"/>
            <w:color w:val="auto"/>
            <w:lang w:eastAsia="zh-CN"/>
          </w:rPr>
          <w:t>Bulletin des vigilances</w:t>
        </w:r>
      </w:hyperlink>
      <w:r w:rsidRPr="00C84EFE">
        <w:rPr>
          <w:rFonts w:ascii="Tenorite" w:eastAsia="SimSun" w:hAnsi="Tenorite" w:cs="SimianText-Orangutan"/>
          <w:lang w:eastAsia="zh-CN"/>
        </w:rPr>
        <w:t>, numéro 26, Juillet 2025</w:t>
      </w:r>
    </w:p>
    <w:p w14:paraId="6A04DB62" w14:textId="77777777" w:rsidR="008A1CC0" w:rsidRPr="00C84EFE" w:rsidRDefault="008A1CC0" w:rsidP="00C84EFE">
      <w:pPr>
        <w:adjustRightInd w:val="0"/>
        <w:spacing w:after="0" w:line="240" w:lineRule="auto"/>
        <w:ind w:left="142"/>
        <w:jc w:val="both"/>
        <w:rPr>
          <w:rFonts w:ascii="Tenorite" w:hAnsi="Tenorite"/>
        </w:rPr>
      </w:pPr>
      <w:hyperlink r:id="rId32" w:history="1">
        <w:proofErr w:type="spellStart"/>
        <w:r w:rsidRPr="00C84EFE">
          <w:rPr>
            <w:rStyle w:val="Lienhypertexte"/>
            <w:rFonts w:ascii="Tenorite" w:hAnsi="Tenorite"/>
            <w:color w:val="auto"/>
          </w:rPr>
          <w:t>BuSCA</w:t>
        </w:r>
        <w:proofErr w:type="spellEnd"/>
        <w:r w:rsidRPr="00C84EFE">
          <w:rPr>
            <w:rStyle w:val="Lienhypertexte"/>
            <w:rFonts w:ascii="Tenorite" w:hAnsi="Tenorite"/>
            <w:color w:val="auto"/>
          </w:rPr>
          <w:t xml:space="preserve"> n°137</w:t>
        </w:r>
      </w:hyperlink>
      <w:r w:rsidRPr="00C84EFE">
        <w:rPr>
          <w:rFonts w:ascii="Tenorite" w:hAnsi="Tenorite"/>
        </w:rPr>
        <w:t>– 11 juillet 2025, Plateforme de surveillance de la chaîne alimentaire</w:t>
      </w:r>
    </w:p>
    <w:p w14:paraId="448BA65C" w14:textId="77777777" w:rsidR="008A1CC0" w:rsidRPr="00C84EFE" w:rsidRDefault="008A1CC0" w:rsidP="00C84EFE">
      <w:pPr>
        <w:adjustRightInd w:val="0"/>
        <w:spacing w:after="0" w:line="240" w:lineRule="auto"/>
        <w:ind w:left="142"/>
        <w:jc w:val="both"/>
        <w:rPr>
          <w:rFonts w:ascii="Tenorite" w:hAnsi="Tenorite"/>
        </w:rPr>
      </w:pPr>
      <w:hyperlink r:id="rId33" w:history="1">
        <w:proofErr w:type="spellStart"/>
        <w:r w:rsidRPr="00C84EFE">
          <w:rPr>
            <w:rStyle w:val="Lienhypertexte"/>
            <w:rFonts w:ascii="Tenorite" w:hAnsi="Tenorite"/>
            <w:color w:val="auto"/>
          </w:rPr>
          <w:t>BuSCA</w:t>
        </w:r>
        <w:proofErr w:type="spellEnd"/>
        <w:r w:rsidRPr="00C84EFE">
          <w:rPr>
            <w:rStyle w:val="Lienhypertexte"/>
            <w:rFonts w:ascii="Tenorite" w:hAnsi="Tenorite"/>
            <w:color w:val="auto"/>
          </w:rPr>
          <w:t xml:space="preserve"> n°138</w:t>
        </w:r>
      </w:hyperlink>
      <w:r w:rsidRPr="00C84EFE">
        <w:rPr>
          <w:rFonts w:ascii="Tenorite" w:hAnsi="Tenorite"/>
        </w:rPr>
        <w:t>- 24 juillet 2025, Plateforme de surveillance de la chaîne alimentaire</w:t>
      </w:r>
    </w:p>
    <w:p w14:paraId="65E8119D" w14:textId="77777777" w:rsidR="008A1CC0" w:rsidRPr="00C84EFE" w:rsidRDefault="008A1CC0" w:rsidP="00C84EFE">
      <w:pPr>
        <w:spacing w:after="0" w:line="240" w:lineRule="auto"/>
        <w:ind w:left="284" w:hanging="142"/>
        <w:jc w:val="both"/>
        <w:rPr>
          <w:rFonts w:ascii="Tenorite" w:hAnsi="Tenorite"/>
          <w:color w:val="C45911" w:themeColor="accent2" w:themeShade="BF"/>
        </w:rPr>
      </w:pPr>
    </w:p>
    <w:p w14:paraId="195FB1E0" w14:textId="4AA19E43" w:rsidR="001B42BB" w:rsidRPr="00C84EFE" w:rsidRDefault="002B7CB6" w:rsidP="00C84EFE">
      <w:pPr>
        <w:spacing w:after="0" w:line="240" w:lineRule="auto"/>
        <w:ind w:left="284" w:hanging="142"/>
        <w:jc w:val="both"/>
        <w:rPr>
          <w:rFonts w:ascii="Tenorite" w:hAnsi="Tenorite"/>
          <w:color w:val="C45911" w:themeColor="accent2" w:themeShade="BF"/>
        </w:rPr>
      </w:pPr>
      <w:r w:rsidRPr="00C84EFE">
        <w:rPr>
          <w:rFonts w:ascii="Tenorite" w:hAnsi="Tenorite"/>
          <w:color w:val="C45911" w:themeColor="accent2" w:themeShade="BF"/>
        </w:rPr>
        <w:t>Dangers biologiques /microbiologiques</w:t>
      </w:r>
      <w:r w:rsidR="00C84EFE">
        <w:rPr>
          <w:rFonts w:ascii="Tenorite" w:hAnsi="Tenorite"/>
          <w:color w:val="C45911" w:themeColor="accent2" w:themeShade="BF"/>
        </w:rPr>
        <w:t xml:space="preserve"> /</w:t>
      </w:r>
    </w:p>
    <w:p w14:paraId="6FBE7995" w14:textId="25F28AEF" w:rsidR="00767DBA" w:rsidRPr="00C84EFE" w:rsidRDefault="00767DBA" w:rsidP="00C84EFE">
      <w:pPr>
        <w:spacing w:after="0" w:line="240" w:lineRule="auto"/>
        <w:ind w:left="284" w:hanging="142"/>
        <w:jc w:val="both"/>
        <w:rPr>
          <w:rFonts w:ascii="Tenorite" w:hAnsi="Tenorite"/>
          <w:color w:val="C45911" w:themeColor="accent2" w:themeShade="BF"/>
        </w:rPr>
      </w:pPr>
      <w:r w:rsidRPr="00C84EFE">
        <w:rPr>
          <w:rFonts w:ascii="Tenorite" w:hAnsi="Tenorite"/>
          <w:color w:val="C45911" w:themeColor="accent2" w:themeShade="BF"/>
        </w:rPr>
        <w:t>Entreposage</w:t>
      </w:r>
      <w:r w:rsidR="00C84EFE">
        <w:rPr>
          <w:rFonts w:ascii="Tenorite" w:hAnsi="Tenorite"/>
          <w:color w:val="C45911" w:themeColor="accent2" w:themeShade="BF"/>
        </w:rPr>
        <w:t xml:space="preserve"> /</w:t>
      </w:r>
    </w:p>
    <w:p w14:paraId="7D1944E0" w14:textId="2C4BB729" w:rsidR="001B42BB" w:rsidRPr="00C84EFE" w:rsidRDefault="002B7CB6" w:rsidP="00C84EFE">
      <w:pPr>
        <w:spacing w:after="0" w:line="240" w:lineRule="auto"/>
        <w:ind w:left="284" w:hanging="142"/>
        <w:jc w:val="both"/>
        <w:rPr>
          <w:rFonts w:ascii="Tenorite" w:hAnsi="Tenorite"/>
          <w:color w:val="C45911" w:themeColor="accent2" w:themeShade="BF"/>
        </w:rPr>
      </w:pPr>
      <w:r w:rsidRPr="00C84EFE">
        <w:rPr>
          <w:rFonts w:ascii="Tenorite" w:hAnsi="Tenorite"/>
          <w:color w:val="C45911" w:themeColor="accent2" w:themeShade="BF"/>
        </w:rPr>
        <w:t>Fraudes (non exhaustif)</w:t>
      </w:r>
    </w:p>
    <w:p w14:paraId="6D90C76F" w14:textId="77777777" w:rsidR="008A1CC0" w:rsidRPr="00C84EFE" w:rsidRDefault="008A1CC0" w:rsidP="00C84EFE">
      <w:pPr>
        <w:shd w:val="clear" w:color="auto" w:fill="FFFFFF"/>
        <w:spacing w:after="0" w:line="240" w:lineRule="auto"/>
        <w:ind w:left="142"/>
        <w:jc w:val="both"/>
        <w:rPr>
          <w:rFonts w:ascii="Tenorite" w:hAnsi="Tenorite"/>
          <w:b/>
          <w:bCs/>
          <w:i/>
          <w:color w:val="99CC00"/>
        </w:rPr>
      </w:pPr>
      <w:r w:rsidRPr="00C84EFE">
        <w:rPr>
          <w:rFonts w:ascii="Tenorite" w:hAnsi="Tenorite"/>
        </w:rPr>
        <w:t xml:space="preserve">Newsletter </w:t>
      </w:r>
      <w:hyperlink r:id="rId34" w:history="1">
        <w:proofErr w:type="gramStart"/>
        <w:r w:rsidRPr="00C84EFE">
          <w:rPr>
            <w:rStyle w:val="Lienhypertexte"/>
            <w:rFonts w:ascii="Tenorite" w:hAnsi="Tenorite"/>
          </w:rPr>
          <w:t>Mai</w:t>
        </w:r>
        <w:proofErr w:type="gramEnd"/>
        <w:r w:rsidRPr="00C84EFE">
          <w:rPr>
            <w:rStyle w:val="Lienhypertexte"/>
            <w:rFonts w:ascii="Tenorite" w:hAnsi="Tenorite"/>
          </w:rPr>
          <w:t xml:space="preserve"> et </w:t>
        </w:r>
        <w:proofErr w:type="gramStart"/>
        <w:r w:rsidRPr="00C84EFE">
          <w:rPr>
            <w:rStyle w:val="Lienhypertexte"/>
            <w:rFonts w:ascii="Tenorite" w:hAnsi="Tenorite"/>
          </w:rPr>
          <w:t>Juin</w:t>
        </w:r>
        <w:proofErr w:type="gramEnd"/>
        <w:r w:rsidRPr="00C84EFE">
          <w:rPr>
            <w:rStyle w:val="Lienhypertexte"/>
            <w:rFonts w:ascii="Tenorite" w:hAnsi="Tenorite"/>
          </w:rPr>
          <w:t xml:space="preserve"> 2025</w:t>
        </w:r>
      </w:hyperlink>
      <w:r w:rsidRPr="00C84EFE">
        <w:rPr>
          <w:rFonts w:ascii="Tenorite" w:hAnsi="Tenorite"/>
        </w:rPr>
        <w:t>, Fraudes alimentaires, Commission européenne</w:t>
      </w:r>
    </w:p>
    <w:p w14:paraId="008AF2C9" w14:textId="77777777" w:rsidR="008A1CC0" w:rsidRPr="00C84EFE" w:rsidRDefault="008A1CC0" w:rsidP="00C84EFE">
      <w:pPr>
        <w:spacing w:after="0" w:line="240" w:lineRule="auto"/>
        <w:ind w:left="284" w:hanging="142"/>
        <w:jc w:val="both"/>
        <w:rPr>
          <w:rFonts w:ascii="Tenorite" w:hAnsi="Tenorite"/>
          <w:color w:val="C45911" w:themeColor="accent2" w:themeShade="BF"/>
        </w:rPr>
      </w:pPr>
    </w:p>
    <w:p w14:paraId="4D744FC4" w14:textId="201697DD" w:rsidR="001B42BB" w:rsidRPr="00C84EFE" w:rsidRDefault="002B7CB6" w:rsidP="00C84EFE">
      <w:pPr>
        <w:spacing w:after="0" w:line="240" w:lineRule="auto"/>
        <w:ind w:left="284" w:hanging="142"/>
        <w:jc w:val="both"/>
        <w:rPr>
          <w:rFonts w:ascii="Tenorite" w:hAnsi="Tenorite"/>
          <w:color w:val="C45911" w:themeColor="accent2" w:themeShade="BF"/>
        </w:rPr>
      </w:pPr>
      <w:r w:rsidRPr="00C84EFE">
        <w:rPr>
          <w:rFonts w:ascii="Tenorite" w:hAnsi="Tenorite"/>
          <w:color w:val="C45911" w:themeColor="accent2" w:themeShade="BF"/>
        </w:rPr>
        <w:t>Hygiène et GBPH</w:t>
      </w:r>
      <w:r w:rsidR="00C84EFE">
        <w:rPr>
          <w:rFonts w:ascii="Tenorite" w:hAnsi="Tenorite"/>
          <w:color w:val="C45911" w:themeColor="accent2" w:themeShade="BF"/>
        </w:rPr>
        <w:t xml:space="preserve"> /</w:t>
      </w:r>
    </w:p>
    <w:p w14:paraId="0224FEEE" w14:textId="518DB52E" w:rsidR="002B7CB6" w:rsidRPr="00C84EFE" w:rsidRDefault="002B7CB6" w:rsidP="00C84EFE">
      <w:pPr>
        <w:spacing w:after="0" w:line="240" w:lineRule="auto"/>
        <w:ind w:left="284" w:hanging="142"/>
        <w:jc w:val="both"/>
        <w:rPr>
          <w:rFonts w:ascii="Tenorite" w:hAnsi="Tenorite"/>
          <w:color w:val="C45911" w:themeColor="accent2" w:themeShade="BF"/>
        </w:rPr>
      </w:pPr>
      <w:r w:rsidRPr="00C84EFE">
        <w:rPr>
          <w:rFonts w:ascii="Tenorite" w:hAnsi="Tenorite"/>
          <w:color w:val="C45911" w:themeColor="accent2" w:themeShade="BF"/>
        </w:rPr>
        <w:t>Transport</w:t>
      </w:r>
      <w:r w:rsidR="00C84EFE">
        <w:rPr>
          <w:rFonts w:ascii="Tenorite" w:hAnsi="Tenorite"/>
          <w:color w:val="C45911" w:themeColor="accent2" w:themeShade="BF"/>
        </w:rPr>
        <w:t xml:space="preserve"> /</w:t>
      </w:r>
      <w:r w:rsidRPr="00C84EFE">
        <w:rPr>
          <w:rFonts w:ascii="Tenorite" w:hAnsi="Tenorite"/>
          <w:color w:val="C45911" w:themeColor="accent2" w:themeShade="BF"/>
        </w:rPr>
        <w:tab/>
      </w:r>
    </w:p>
    <w:p w14:paraId="60549313" w14:textId="77777777" w:rsidR="001B42BB" w:rsidRPr="005B4285" w:rsidRDefault="001B42BB" w:rsidP="005B4285">
      <w:pPr>
        <w:spacing w:after="0" w:line="240" w:lineRule="auto"/>
        <w:ind w:left="284" w:hanging="142"/>
        <w:jc w:val="both"/>
        <w:rPr>
          <w:rFonts w:ascii="Tenorite" w:hAnsi="Tenorite"/>
          <w:color w:val="C45911" w:themeColor="accent2" w:themeShade="BF"/>
          <w:sz w:val="20"/>
        </w:rPr>
      </w:pPr>
    </w:p>
    <w:p w14:paraId="5417E9F6" w14:textId="6E2A768A" w:rsidR="002B7CB6" w:rsidRPr="005B4285" w:rsidRDefault="002B7CB6"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MARCHES (importation, modalités de commercialisation</w:t>
      </w:r>
      <w:r w:rsidR="00767DBA" w:rsidRPr="005B4285">
        <w:rPr>
          <w:rFonts w:ascii="Tenorite" w:hAnsi="Tenorite"/>
          <w:b/>
          <w:color w:val="833C0B" w:themeColor="accent2" w:themeShade="80"/>
          <w:sz w:val="24"/>
        </w:rPr>
        <w:t>, exportation</w:t>
      </w:r>
      <w:r w:rsidRPr="005B4285">
        <w:rPr>
          <w:rFonts w:ascii="Tenorite" w:hAnsi="Tenorite"/>
          <w:b/>
          <w:color w:val="833C0B" w:themeColor="accent2" w:themeShade="80"/>
          <w:sz w:val="24"/>
        </w:rPr>
        <w:t>)</w:t>
      </w:r>
    </w:p>
    <w:p w14:paraId="3F8C59CB" w14:textId="77777777" w:rsidR="008A1CC0" w:rsidRPr="002D0645" w:rsidRDefault="008A1CC0" w:rsidP="002D0645">
      <w:pPr>
        <w:shd w:val="clear" w:color="auto" w:fill="FFFFFF"/>
        <w:spacing w:after="0" w:line="240" w:lineRule="auto"/>
        <w:ind w:left="142"/>
        <w:jc w:val="both"/>
        <w:rPr>
          <w:rFonts w:ascii="Tenorite" w:hAnsi="Tenorite"/>
        </w:rPr>
      </w:pPr>
      <w:hyperlink r:id="rId35" w:history="1">
        <w:r w:rsidRPr="002D0645">
          <w:rPr>
            <w:rStyle w:val="Lienhypertexte"/>
            <w:rFonts w:ascii="Tenorite" w:hAnsi="Tenorite"/>
          </w:rPr>
          <w:t>Règlement</w:t>
        </w:r>
      </w:hyperlink>
      <w:r w:rsidRPr="002D0645">
        <w:rPr>
          <w:rFonts w:ascii="Tenorite" w:hAnsi="Tenorite"/>
        </w:rPr>
        <w:t xml:space="preserve"> d’exécution (UE) 2025/1564 de la Commission du 24 juillet 2025 concernant des mesures de rééquilibrage commercial visant certains produits originaires des États-Unis d’Amérique ainsi que certains produits exportés de l’Union vers les États-Unis d’Amérique, et abrogeant les règlements d’exécution (UE) 2018/724, (UE) 2018/886, (UE) 2020/502 et (UE) 2025/778 (JOUE 24/07/2025)</w:t>
      </w:r>
    </w:p>
    <w:p w14:paraId="3CAF5372" w14:textId="77777777" w:rsidR="002D0645" w:rsidRPr="002D0645" w:rsidRDefault="002D0645" w:rsidP="002D0645">
      <w:pPr>
        <w:shd w:val="clear" w:color="auto" w:fill="FFFFFF"/>
        <w:spacing w:after="0" w:line="240" w:lineRule="auto"/>
        <w:ind w:left="142"/>
        <w:jc w:val="both"/>
        <w:rPr>
          <w:rFonts w:ascii="Tenorite" w:hAnsi="Tenorite"/>
        </w:rPr>
      </w:pPr>
    </w:p>
    <w:p w14:paraId="59E3EFC1" w14:textId="77777777" w:rsidR="00121619" w:rsidRDefault="00121619" w:rsidP="002D0645">
      <w:pPr>
        <w:spacing w:after="0" w:line="240" w:lineRule="auto"/>
        <w:ind w:left="142"/>
        <w:jc w:val="both"/>
        <w:rPr>
          <w:rFonts w:ascii="Tenorite" w:hAnsi="Tenorite"/>
        </w:rPr>
      </w:pPr>
      <w:hyperlink r:id="rId36" w:history="1">
        <w:r w:rsidRPr="002D0645">
          <w:rPr>
            <w:rStyle w:val="Lienhypertexte"/>
            <w:rFonts w:ascii="Tenorite" w:hAnsi="Tenorite"/>
          </w:rPr>
          <w:t>Règlement</w:t>
        </w:r>
      </w:hyperlink>
      <w:r w:rsidRPr="002D0645">
        <w:rPr>
          <w:rFonts w:ascii="Tenorite" w:hAnsi="Tenorite"/>
        </w:rPr>
        <w:t xml:space="preserve"> d’exécution (UE) 2025/1727 de la Commission du 5 août 2025 suspendant les mesures de rééquilibrage commercial visant certains produits originaires des États-Unis d’Amérique et certains produits exportés de l’Union vers les États-Unis d’Amérique, instituées par le règlement d’exécution (UE) 2025/1564 (JOUE 05/08/2025)</w:t>
      </w:r>
    </w:p>
    <w:p w14:paraId="3A2D93AA" w14:textId="77777777" w:rsidR="00186F4B" w:rsidRPr="002D0645" w:rsidRDefault="00186F4B" w:rsidP="002D0645">
      <w:pPr>
        <w:spacing w:after="0" w:line="240" w:lineRule="auto"/>
        <w:ind w:left="142"/>
        <w:jc w:val="both"/>
        <w:rPr>
          <w:rFonts w:ascii="Tenorite" w:hAnsi="Tenorite"/>
          <w:color w:val="006666"/>
        </w:rPr>
      </w:pPr>
    </w:p>
    <w:p w14:paraId="440D7C32" w14:textId="303647C9" w:rsidR="00767DBA" w:rsidRDefault="00767DBA" w:rsidP="005B4285">
      <w:pPr>
        <w:spacing w:after="0" w:line="240" w:lineRule="auto"/>
        <w:ind w:left="284" w:hanging="142"/>
        <w:jc w:val="both"/>
        <w:rPr>
          <w:rFonts w:ascii="Tenorite" w:hAnsi="Tenorite"/>
          <w:color w:val="C45911" w:themeColor="accent2" w:themeShade="BF"/>
          <w:szCs w:val="24"/>
        </w:rPr>
      </w:pPr>
      <w:r w:rsidRPr="00C92711">
        <w:rPr>
          <w:rFonts w:ascii="Tenorite" w:hAnsi="Tenorite"/>
          <w:color w:val="C45911" w:themeColor="accent2" w:themeShade="BF"/>
          <w:szCs w:val="24"/>
        </w:rPr>
        <w:t>Exportation</w:t>
      </w:r>
      <w:r w:rsidR="002D0645" w:rsidRPr="00C92711">
        <w:rPr>
          <w:rFonts w:ascii="Tenorite" w:hAnsi="Tenorite"/>
          <w:color w:val="C45911" w:themeColor="accent2" w:themeShade="BF"/>
          <w:szCs w:val="24"/>
        </w:rPr>
        <w:t xml:space="preserve"> /</w:t>
      </w:r>
    </w:p>
    <w:p w14:paraId="29B4059E" w14:textId="77777777" w:rsidR="00186F4B" w:rsidRPr="00C92711" w:rsidRDefault="00186F4B" w:rsidP="005B4285">
      <w:pPr>
        <w:spacing w:after="0" w:line="240" w:lineRule="auto"/>
        <w:ind w:left="284" w:hanging="142"/>
        <w:jc w:val="both"/>
        <w:rPr>
          <w:rFonts w:ascii="Tenorite" w:hAnsi="Tenorite"/>
          <w:color w:val="C45911" w:themeColor="accent2" w:themeShade="BF"/>
          <w:szCs w:val="24"/>
        </w:rPr>
      </w:pPr>
    </w:p>
    <w:p w14:paraId="5ABC6969" w14:textId="4D62C4C5" w:rsidR="00767DBA" w:rsidRPr="00C92711" w:rsidRDefault="00767DBA" w:rsidP="005B4285">
      <w:pPr>
        <w:spacing w:after="0" w:line="240" w:lineRule="auto"/>
        <w:ind w:left="284" w:hanging="142"/>
        <w:jc w:val="both"/>
        <w:rPr>
          <w:rFonts w:ascii="Tenorite" w:hAnsi="Tenorite"/>
          <w:color w:val="C45911" w:themeColor="accent2" w:themeShade="BF"/>
          <w:szCs w:val="24"/>
        </w:rPr>
      </w:pPr>
      <w:r w:rsidRPr="00C92711">
        <w:rPr>
          <w:rFonts w:ascii="Tenorite" w:hAnsi="Tenorite"/>
          <w:color w:val="C45911" w:themeColor="accent2" w:themeShade="BF"/>
          <w:szCs w:val="24"/>
        </w:rPr>
        <w:t>Importation</w:t>
      </w:r>
    </w:p>
    <w:p w14:paraId="10030645" w14:textId="77777777" w:rsidR="002D0645" w:rsidRDefault="002D0645" w:rsidP="002D0645">
      <w:pPr>
        <w:shd w:val="clear" w:color="auto" w:fill="FFFFFF"/>
        <w:spacing w:after="0" w:line="240" w:lineRule="auto"/>
        <w:ind w:left="142"/>
        <w:jc w:val="both"/>
        <w:rPr>
          <w:rFonts w:ascii="Tenorite" w:hAnsi="Tenorite"/>
        </w:rPr>
      </w:pPr>
      <w:hyperlink r:id="rId37" w:history="1">
        <w:r w:rsidRPr="002D0645">
          <w:rPr>
            <w:rStyle w:val="Lienhypertexte"/>
            <w:rFonts w:ascii="Tenorite" w:hAnsi="Tenorite"/>
          </w:rPr>
          <w:t>Règlement</w:t>
        </w:r>
      </w:hyperlink>
      <w:r w:rsidRPr="002D0645">
        <w:rPr>
          <w:rFonts w:ascii="Tenorite" w:hAnsi="Tenorite"/>
        </w:rPr>
        <w:t xml:space="preserve"> d’exécution (UE) 2025/1441 de la Commission du 18 juillet 2025 modifiant le règlement d’exécution (UE) 2019/1793 relatif au renforcement temporaire des contrôles officiels et aux mesures d’urgence régissant l’entrée dans l’Union de certains biens provenant de certains pays tiers, mettant en œuvre les règlements (UE) 2017/625 et (CE) no 178/2002 du Parlement européen et du Conseil (JOUE 23/07/2025)</w:t>
      </w:r>
    </w:p>
    <w:p w14:paraId="080F48A6" w14:textId="77777777" w:rsidR="002D0645" w:rsidRPr="002D0645" w:rsidRDefault="002D0645" w:rsidP="002D0645">
      <w:pPr>
        <w:shd w:val="clear" w:color="auto" w:fill="FFFFFF"/>
        <w:spacing w:after="0" w:line="240" w:lineRule="auto"/>
        <w:ind w:left="142"/>
        <w:jc w:val="both"/>
        <w:rPr>
          <w:rFonts w:ascii="Tenorite" w:hAnsi="Tenorite"/>
        </w:rPr>
      </w:pPr>
    </w:p>
    <w:p w14:paraId="13285005" w14:textId="7ECDC3C3" w:rsidR="00767DBA" w:rsidRPr="00C92711" w:rsidRDefault="002D0645" w:rsidP="00D85BE8">
      <w:pPr>
        <w:shd w:val="clear" w:color="auto" w:fill="FFFFFF"/>
        <w:spacing w:after="0" w:line="240" w:lineRule="auto"/>
        <w:ind w:left="142"/>
        <w:jc w:val="both"/>
        <w:rPr>
          <w:rFonts w:ascii="Tenorite" w:hAnsi="Tenorite"/>
          <w:color w:val="C45911" w:themeColor="accent2" w:themeShade="BF"/>
          <w:szCs w:val="24"/>
        </w:rPr>
      </w:pPr>
      <w:hyperlink r:id="rId38" w:history="1">
        <w:r w:rsidRPr="002D0645">
          <w:rPr>
            <w:rStyle w:val="Lienhypertexte"/>
            <w:rFonts w:ascii="Tenorite" w:hAnsi="Tenorite"/>
          </w:rPr>
          <w:t>Règlement</w:t>
        </w:r>
      </w:hyperlink>
      <w:r w:rsidRPr="002D0645">
        <w:rPr>
          <w:rFonts w:ascii="Tenorite" w:hAnsi="Tenorite"/>
        </w:rPr>
        <w:t xml:space="preserve"> d’exécution (UE) 2025/1422 de la Commission du 17 juillet 2025 modifiant le règlement d’exécution (UE) 2016/1141 pour mettre à jour la liste des espèces exotiques envahissantes préoccupantes pour l’Union (JOUE 18/07/2025)</w:t>
      </w:r>
    </w:p>
    <w:p w14:paraId="1CCC66F9" w14:textId="77777777" w:rsidR="00616689" w:rsidRPr="005B4285" w:rsidRDefault="00616689" w:rsidP="005B4285">
      <w:pPr>
        <w:spacing w:after="0" w:line="240" w:lineRule="auto"/>
        <w:ind w:left="284" w:hanging="142"/>
        <w:jc w:val="both"/>
        <w:rPr>
          <w:rFonts w:ascii="Tenorite" w:hAnsi="Tenorite"/>
          <w:color w:val="C45911" w:themeColor="accent2" w:themeShade="BF"/>
          <w:sz w:val="20"/>
        </w:rPr>
      </w:pPr>
    </w:p>
    <w:p w14:paraId="63DF5A7E" w14:textId="495779E1" w:rsidR="002B7CB6" w:rsidRPr="005B4285" w:rsidRDefault="002B7CB6"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 xml:space="preserve">MATERIAUX </w:t>
      </w:r>
      <w:r w:rsidR="00767DBA" w:rsidRPr="005B4285">
        <w:rPr>
          <w:rFonts w:ascii="Tenorite" w:hAnsi="Tenorite"/>
          <w:b/>
          <w:color w:val="833C0B" w:themeColor="accent2" w:themeShade="80"/>
          <w:sz w:val="24"/>
        </w:rPr>
        <w:t xml:space="preserve">ET OBJETS </w:t>
      </w:r>
      <w:r w:rsidRPr="005B4285">
        <w:rPr>
          <w:rFonts w:ascii="Tenorite" w:hAnsi="Tenorite"/>
          <w:b/>
          <w:color w:val="833C0B" w:themeColor="accent2" w:themeShade="80"/>
          <w:sz w:val="24"/>
        </w:rPr>
        <w:t>AU CONTACT</w:t>
      </w:r>
    </w:p>
    <w:p w14:paraId="127F50CB" w14:textId="77777777" w:rsidR="00121619" w:rsidRPr="00616689" w:rsidRDefault="00121619" w:rsidP="00616689">
      <w:pPr>
        <w:spacing w:after="0" w:line="240" w:lineRule="auto"/>
        <w:ind w:left="142"/>
        <w:jc w:val="both"/>
        <w:rPr>
          <w:rFonts w:ascii="Tenorite" w:hAnsi="Tenorite"/>
        </w:rPr>
      </w:pPr>
      <w:hyperlink r:id="rId39" w:history="1">
        <w:r w:rsidRPr="00616689">
          <w:rPr>
            <w:rStyle w:val="Lienhypertexte"/>
            <w:rFonts w:ascii="Tenorite" w:hAnsi="Tenorite"/>
            <w:color w:val="auto"/>
          </w:rPr>
          <w:t>Avis</w:t>
        </w:r>
      </w:hyperlink>
      <w:r w:rsidRPr="00616689">
        <w:rPr>
          <w:rFonts w:ascii="Tenorite" w:hAnsi="Tenorite"/>
        </w:rPr>
        <w:t xml:space="preserve"> relatif aux substances de l'annexe VIII de l'arrêté du 5 août 2020 relatif aux </w:t>
      </w:r>
      <w:r w:rsidRPr="00616689">
        <w:rPr>
          <w:rFonts w:ascii="Tenorite" w:hAnsi="Tenorite"/>
          <w:b/>
          <w:bCs/>
        </w:rPr>
        <w:t>matériaux et objets en caoutchouc destinés à entrer en contact avec des denrées alimentaires et aux sucettes pour nourrissons et enfants en bas-âge</w:t>
      </w:r>
      <w:r w:rsidRPr="00616689">
        <w:rPr>
          <w:rFonts w:ascii="Tenorite" w:hAnsi="Tenorite"/>
        </w:rPr>
        <w:t xml:space="preserve"> dont le dossier nécessaire à leur évaluation a été déposé à la DGCCRF avant le 1er juillet 2025 (JORF 07/08/2025)</w:t>
      </w:r>
    </w:p>
    <w:p w14:paraId="3A4BE506" w14:textId="77777777" w:rsidR="00767DBA" w:rsidRPr="005B4285" w:rsidRDefault="00767DBA" w:rsidP="005B4285">
      <w:pPr>
        <w:spacing w:line="240" w:lineRule="auto"/>
        <w:ind w:left="284" w:hanging="142"/>
        <w:jc w:val="both"/>
        <w:rPr>
          <w:rFonts w:ascii="Tenorite" w:hAnsi="Tenorite"/>
          <w:b/>
        </w:rPr>
      </w:pPr>
    </w:p>
    <w:p w14:paraId="6A58FF82" w14:textId="03C8B2D3" w:rsidR="00767DBA" w:rsidRPr="005B4285" w:rsidRDefault="00767DBA"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CONDITIONNEMENT - EMBALLAGE</w:t>
      </w:r>
    </w:p>
    <w:p w14:paraId="1FAA7BB8" w14:textId="510E10A3" w:rsidR="00767DBA" w:rsidRPr="005B4285" w:rsidRDefault="00616689" w:rsidP="005B4285">
      <w:pPr>
        <w:spacing w:line="240" w:lineRule="auto"/>
        <w:ind w:left="284" w:hanging="142"/>
        <w:jc w:val="both"/>
        <w:rPr>
          <w:rFonts w:ascii="Tenorite" w:hAnsi="Tenorite"/>
          <w:b/>
        </w:rPr>
      </w:pPr>
      <w:r>
        <w:rPr>
          <w:rFonts w:ascii="Tenorite" w:hAnsi="Tenorite"/>
          <w:b/>
        </w:rPr>
        <w:t>/</w:t>
      </w:r>
    </w:p>
    <w:p w14:paraId="2153F0AD" w14:textId="77777777" w:rsidR="002B7CB6" w:rsidRPr="005B4285" w:rsidRDefault="002B7CB6"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METROLOGIE</w:t>
      </w:r>
    </w:p>
    <w:p w14:paraId="2C44D545" w14:textId="23A12F7C" w:rsidR="001B42BB" w:rsidRPr="005B4285" w:rsidRDefault="00616689" w:rsidP="005B4285">
      <w:pPr>
        <w:spacing w:line="240" w:lineRule="auto"/>
        <w:ind w:left="284" w:hanging="142"/>
        <w:jc w:val="both"/>
        <w:rPr>
          <w:rFonts w:ascii="Tenorite" w:hAnsi="Tenorite"/>
          <w:b/>
        </w:rPr>
      </w:pPr>
      <w:r>
        <w:rPr>
          <w:rFonts w:ascii="Tenorite" w:hAnsi="Tenorite"/>
          <w:b/>
        </w:rPr>
        <w:t>/</w:t>
      </w:r>
    </w:p>
    <w:p w14:paraId="254D792C" w14:textId="45699711" w:rsidR="00767DBA" w:rsidRPr="005B4285" w:rsidRDefault="00767DBA"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NUTRITION – ALIMENTATION PARTICULIERE</w:t>
      </w:r>
    </w:p>
    <w:p w14:paraId="68CE4F5C" w14:textId="77777777" w:rsidR="00B33565" w:rsidRDefault="00B33565" w:rsidP="00616689">
      <w:pPr>
        <w:spacing w:after="0" w:line="240" w:lineRule="auto"/>
        <w:ind w:left="142"/>
        <w:jc w:val="both"/>
        <w:rPr>
          <w:rFonts w:ascii="Tenorite" w:hAnsi="Tenorite"/>
        </w:rPr>
      </w:pPr>
      <w:hyperlink r:id="rId40" w:history="1">
        <w:r w:rsidRPr="005B4285">
          <w:rPr>
            <w:rStyle w:val="Lienhypertexte"/>
            <w:rFonts w:ascii="Tenorite" w:hAnsi="Tenorite" w:cstheme="minorHAnsi"/>
          </w:rPr>
          <w:t>Règlement</w:t>
        </w:r>
      </w:hyperlink>
      <w:r w:rsidRPr="005B4285">
        <w:rPr>
          <w:rFonts w:ascii="Tenorite" w:hAnsi="Tenorite" w:cstheme="minorHAnsi"/>
        </w:rPr>
        <w:t xml:space="preserve"> d’exécution (UE) 2025/1560 de la Commission du 30 juillet 2025 autorisant une allégation de santé portant sur des denrées alimentaires, autre que les allégations faisant référence à la réduction du risque de maladie ainsi qu’au développement et à la santé infantiles, et modifiant le règlement (UE) no 432/2012 </w:t>
      </w:r>
      <w:r w:rsidRPr="005B4285">
        <w:rPr>
          <w:rFonts w:ascii="Tenorite" w:hAnsi="Tenorite"/>
        </w:rPr>
        <w:t>(JOUE 31/07/2025)</w:t>
      </w:r>
    </w:p>
    <w:p w14:paraId="187C40C7" w14:textId="77777777" w:rsidR="006B249F" w:rsidRPr="005B4285" w:rsidRDefault="006B249F" w:rsidP="00616689">
      <w:pPr>
        <w:spacing w:after="0" w:line="240" w:lineRule="auto"/>
        <w:ind w:left="142"/>
        <w:jc w:val="both"/>
        <w:rPr>
          <w:rFonts w:ascii="Tenorite" w:hAnsi="Tenorite"/>
          <w:sz w:val="18"/>
        </w:rPr>
      </w:pPr>
    </w:p>
    <w:p w14:paraId="3E6ACC90" w14:textId="77777777" w:rsidR="00121619" w:rsidRPr="006B249F" w:rsidRDefault="00121619" w:rsidP="006B249F">
      <w:pPr>
        <w:spacing w:after="0" w:line="240" w:lineRule="auto"/>
        <w:ind w:left="142"/>
        <w:jc w:val="both"/>
        <w:rPr>
          <w:rFonts w:ascii="Tenorite" w:hAnsi="Tenorite"/>
        </w:rPr>
      </w:pPr>
      <w:hyperlink r:id="rId41" w:history="1">
        <w:r w:rsidRPr="006B249F">
          <w:rPr>
            <w:rStyle w:val="Lienhypertexte"/>
            <w:rFonts w:ascii="Tenorite" w:hAnsi="Tenorite"/>
            <w:color w:val="auto"/>
          </w:rPr>
          <w:t>Décision</w:t>
        </w:r>
      </w:hyperlink>
      <w:r w:rsidRPr="006B249F">
        <w:rPr>
          <w:rFonts w:ascii="Tenorite" w:hAnsi="Tenorite"/>
        </w:rPr>
        <w:t xml:space="preserve"> d’exécution (UE) 2025/1445 de la Commission du 8 juillet 2025 relative à la demande d’enregistrement, en application du règlement (UE) 2019/788 du Parlement européen et du Conseil, de l’initiative citoyenne européenne intitulée </w:t>
      </w:r>
      <w:r w:rsidRPr="006B249F">
        <w:rPr>
          <w:rFonts w:ascii="Tenorite" w:hAnsi="Tenorite"/>
          <w:b/>
          <w:bCs/>
        </w:rPr>
        <w:t xml:space="preserve">L’alimentation est un droit humain pour toutes et </w:t>
      </w:r>
      <w:proofErr w:type="gramStart"/>
      <w:r w:rsidRPr="006B249F">
        <w:rPr>
          <w:rFonts w:ascii="Tenorite" w:hAnsi="Tenorite"/>
          <w:b/>
          <w:bCs/>
        </w:rPr>
        <w:t>tous!</w:t>
      </w:r>
      <w:proofErr w:type="gramEnd"/>
      <w:r w:rsidRPr="006B249F">
        <w:rPr>
          <w:rFonts w:ascii="Tenorite" w:hAnsi="Tenorite"/>
          <w:b/>
          <w:bCs/>
        </w:rPr>
        <w:t xml:space="preserve"> Garantir des systèmes alimentaires sains, justes et durables </w:t>
      </w:r>
      <w:r w:rsidRPr="006B249F">
        <w:rPr>
          <w:rFonts w:ascii="Tenorite" w:hAnsi="Tenorite"/>
        </w:rPr>
        <w:t>(JOUE 01/08/2025)</w:t>
      </w:r>
    </w:p>
    <w:p w14:paraId="67B68949" w14:textId="77777777" w:rsidR="002B7CB6" w:rsidRPr="005B4285" w:rsidRDefault="002B7CB6"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OGM</w:t>
      </w:r>
    </w:p>
    <w:p w14:paraId="6542D33F" w14:textId="77777777" w:rsidR="008A1CC0" w:rsidRPr="006B249F" w:rsidRDefault="008A1CC0" w:rsidP="006B249F">
      <w:pPr>
        <w:shd w:val="clear" w:color="auto" w:fill="FFFFFF"/>
        <w:spacing w:after="0" w:line="240" w:lineRule="auto"/>
        <w:ind w:left="142"/>
        <w:jc w:val="both"/>
        <w:rPr>
          <w:rFonts w:ascii="Tenorite" w:hAnsi="Tenorite"/>
        </w:rPr>
      </w:pPr>
      <w:hyperlink r:id="rId42" w:history="1">
        <w:r w:rsidRPr="006B249F">
          <w:rPr>
            <w:rStyle w:val="Lienhypertexte"/>
            <w:rFonts w:ascii="Tenorite" w:hAnsi="Tenorite"/>
            <w:color w:val="auto"/>
          </w:rPr>
          <w:t>Décision</w:t>
        </w:r>
      </w:hyperlink>
      <w:r w:rsidRPr="006B249F">
        <w:rPr>
          <w:rFonts w:ascii="Tenorite" w:hAnsi="Tenorite"/>
        </w:rPr>
        <w:t xml:space="preserve"> d’exécution (UE) 2025/1321 de la Commission du 4 juillet 2025 autorisant la mise sur le marché de produits contenant du soja génétiquement modifié MON 87705 × MON 87708 × MON 89788, consistant en ce soja ou produits à partir de celui-ci, en application du règlement (CE) no 1829/2003 du Parlement européen et du Conseil (JOUE 07/07/2025)</w:t>
      </w:r>
    </w:p>
    <w:p w14:paraId="60BDB1D3" w14:textId="77777777" w:rsidR="001B42BB" w:rsidRPr="005B4285" w:rsidRDefault="001B42BB" w:rsidP="005B4285">
      <w:pPr>
        <w:spacing w:after="0" w:line="240" w:lineRule="auto"/>
        <w:ind w:left="284" w:hanging="142"/>
        <w:jc w:val="both"/>
        <w:rPr>
          <w:rFonts w:ascii="Tenorite" w:hAnsi="Tenorite"/>
          <w:b/>
        </w:rPr>
      </w:pPr>
    </w:p>
    <w:p w14:paraId="685BD29A" w14:textId="48D81777" w:rsidR="002B7CB6" w:rsidRPr="005B4285" w:rsidRDefault="00767DBA"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 xml:space="preserve">PRODUITS BIOLOGIQUES </w:t>
      </w:r>
    </w:p>
    <w:p w14:paraId="06697625" w14:textId="6C291CF7" w:rsidR="001B42BB" w:rsidRPr="005B4285" w:rsidRDefault="006B249F" w:rsidP="005B4285">
      <w:pPr>
        <w:spacing w:after="0" w:line="240" w:lineRule="auto"/>
        <w:ind w:left="284" w:hanging="142"/>
        <w:jc w:val="both"/>
        <w:rPr>
          <w:rFonts w:ascii="Tenorite" w:hAnsi="Tenorite"/>
          <w:color w:val="C45911" w:themeColor="accent2" w:themeShade="BF"/>
          <w:sz w:val="20"/>
        </w:rPr>
      </w:pPr>
      <w:r>
        <w:rPr>
          <w:rFonts w:ascii="Tenorite" w:hAnsi="Tenorite"/>
          <w:color w:val="C45911" w:themeColor="accent2" w:themeShade="BF"/>
          <w:sz w:val="20"/>
        </w:rPr>
        <w:t>/</w:t>
      </w:r>
    </w:p>
    <w:p w14:paraId="66D14657" w14:textId="77777777" w:rsidR="00767DBA" w:rsidRPr="005B4285" w:rsidRDefault="00767DBA" w:rsidP="005B4285">
      <w:pPr>
        <w:spacing w:after="0" w:line="240" w:lineRule="auto"/>
        <w:ind w:left="284" w:hanging="142"/>
        <w:jc w:val="both"/>
        <w:rPr>
          <w:rFonts w:ascii="Tenorite" w:hAnsi="Tenorite"/>
          <w:color w:val="C45911" w:themeColor="accent2" w:themeShade="BF"/>
          <w:sz w:val="20"/>
        </w:rPr>
      </w:pPr>
    </w:p>
    <w:p w14:paraId="54E176FF" w14:textId="679FF40F" w:rsidR="00767DBA" w:rsidRPr="005B4285" w:rsidRDefault="00767DBA"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SIGNES OFFICIELS DE QUALITE</w:t>
      </w:r>
    </w:p>
    <w:p w14:paraId="1211FBAE" w14:textId="476693EA" w:rsidR="00121619" w:rsidRPr="006B249F" w:rsidRDefault="00121619" w:rsidP="006B249F">
      <w:pPr>
        <w:spacing w:after="0" w:line="240" w:lineRule="auto"/>
        <w:ind w:left="142"/>
        <w:jc w:val="both"/>
        <w:rPr>
          <w:rFonts w:ascii="Tenorite" w:eastAsia="Times New Roman" w:hAnsi="Tenorite"/>
          <w:lang w:eastAsia="fr-FR"/>
        </w:rPr>
      </w:pPr>
      <w:hyperlink r:id="rId43" w:history="1">
        <w:r w:rsidRPr="006B249F">
          <w:rPr>
            <w:rStyle w:val="Lienhypertexte"/>
            <w:rFonts w:ascii="Tenorite" w:eastAsia="Times New Roman" w:hAnsi="Tenorite"/>
            <w:color w:val="auto"/>
            <w:lang w:eastAsia="fr-FR"/>
          </w:rPr>
          <w:t>Arrêté</w:t>
        </w:r>
      </w:hyperlink>
      <w:r w:rsidRPr="006B249F">
        <w:rPr>
          <w:rFonts w:ascii="Tenorite" w:hAnsi="Tenorite"/>
          <w:lang w:eastAsia="fr-FR"/>
        </w:rPr>
        <w:t xml:space="preserve"> du 1er août 2025 portant modification de la liste des </w:t>
      </w:r>
      <w:r w:rsidRPr="006B249F">
        <w:rPr>
          <w:rFonts w:ascii="Tenorite" w:hAnsi="Tenorite"/>
          <w:b/>
          <w:bCs/>
          <w:lang w:eastAsia="fr-FR"/>
        </w:rPr>
        <w:t>certifications de conformité enregistrées</w:t>
      </w:r>
      <w:r w:rsidRPr="006B249F">
        <w:rPr>
          <w:rFonts w:ascii="Tenorite" w:hAnsi="Tenorite"/>
          <w:lang w:eastAsia="fr-FR"/>
        </w:rPr>
        <w:t xml:space="preserve"> (JORF 06/08/2025)</w:t>
      </w:r>
    </w:p>
    <w:p w14:paraId="004E32DE" w14:textId="77777777" w:rsidR="005F3EA3" w:rsidRPr="005B4285" w:rsidRDefault="005F3EA3" w:rsidP="005B4285">
      <w:pPr>
        <w:spacing w:after="0" w:line="240" w:lineRule="auto"/>
        <w:ind w:left="284" w:hanging="142"/>
        <w:jc w:val="both"/>
        <w:rPr>
          <w:rFonts w:ascii="Tenorite" w:hAnsi="Tenorite"/>
          <w:b/>
        </w:rPr>
      </w:pPr>
    </w:p>
    <w:p w14:paraId="415BEA78" w14:textId="74F4CD00" w:rsidR="002B7CB6" w:rsidRPr="005B4285" w:rsidRDefault="002B7CB6" w:rsidP="005B4285">
      <w:pPr>
        <w:shd w:val="clear" w:color="auto" w:fill="D9D9D9" w:themeFill="background1" w:themeFillShade="D9"/>
        <w:spacing w:after="0" w:line="240" w:lineRule="auto"/>
        <w:ind w:left="284" w:hanging="142"/>
        <w:jc w:val="both"/>
        <w:rPr>
          <w:rFonts w:ascii="Tenorite" w:hAnsi="Tenorite"/>
          <w:b/>
          <w:color w:val="833C0B" w:themeColor="accent2" w:themeShade="80"/>
          <w:sz w:val="24"/>
        </w:rPr>
      </w:pPr>
      <w:r w:rsidRPr="005B4285">
        <w:rPr>
          <w:rFonts w:ascii="Tenorite" w:hAnsi="Tenorite"/>
          <w:b/>
          <w:color w:val="833C0B" w:themeColor="accent2" w:themeShade="80"/>
          <w:sz w:val="24"/>
        </w:rPr>
        <w:t>TRAITEMENT</w:t>
      </w:r>
      <w:r w:rsidR="00767DBA" w:rsidRPr="005B4285">
        <w:rPr>
          <w:rFonts w:ascii="Tenorite" w:hAnsi="Tenorite"/>
          <w:b/>
          <w:color w:val="833C0B" w:themeColor="accent2" w:themeShade="80"/>
          <w:sz w:val="24"/>
        </w:rPr>
        <w:t xml:space="preserve"> DES DENREES ALIEMNTAIRES </w:t>
      </w:r>
    </w:p>
    <w:p w14:paraId="7E3ECBE4" w14:textId="7BA31C65" w:rsidR="001B42BB" w:rsidRPr="00C92711" w:rsidRDefault="002B7CB6" w:rsidP="005B4285">
      <w:pPr>
        <w:spacing w:after="0" w:line="240" w:lineRule="auto"/>
        <w:ind w:left="284" w:hanging="142"/>
        <w:jc w:val="both"/>
        <w:rPr>
          <w:rFonts w:ascii="Tenorite" w:hAnsi="Tenorite"/>
          <w:color w:val="C45911" w:themeColor="accent2" w:themeShade="BF"/>
          <w:szCs w:val="24"/>
        </w:rPr>
      </w:pPr>
      <w:r w:rsidRPr="00C92711">
        <w:rPr>
          <w:rFonts w:ascii="Tenorite" w:hAnsi="Tenorite"/>
          <w:color w:val="C45911" w:themeColor="accent2" w:themeShade="BF"/>
          <w:szCs w:val="24"/>
        </w:rPr>
        <w:t>Fumigation</w:t>
      </w:r>
      <w:r w:rsidR="006F4BA9" w:rsidRPr="00C92711">
        <w:rPr>
          <w:rFonts w:ascii="Tenorite" w:hAnsi="Tenorite"/>
          <w:color w:val="C45911" w:themeColor="accent2" w:themeShade="BF"/>
          <w:szCs w:val="24"/>
        </w:rPr>
        <w:t xml:space="preserve"> /</w:t>
      </w:r>
    </w:p>
    <w:p w14:paraId="4A20E2E9" w14:textId="0289EBE1" w:rsidR="001B42BB" w:rsidRPr="00C92711" w:rsidRDefault="002B7CB6" w:rsidP="005B4285">
      <w:pPr>
        <w:spacing w:after="0" w:line="240" w:lineRule="auto"/>
        <w:ind w:left="284" w:hanging="142"/>
        <w:jc w:val="both"/>
        <w:rPr>
          <w:rFonts w:ascii="Tenorite" w:hAnsi="Tenorite"/>
          <w:color w:val="C45911" w:themeColor="accent2" w:themeShade="BF"/>
          <w:szCs w:val="24"/>
        </w:rPr>
      </w:pPr>
      <w:r w:rsidRPr="00C92711">
        <w:rPr>
          <w:rFonts w:ascii="Tenorite" w:hAnsi="Tenorite"/>
          <w:color w:val="C45911" w:themeColor="accent2" w:themeShade="BF"/>
          <w:szCs w:val="24"/>
        </w:rPr>
        <w:t>Ionisation</w:t>
      </w:r>
      <w:r w:rsidR="006F4BA9" w:rsidRPr="00C92711">
        <w:rPr>
          <w:rFonts w:ascii="Tenorite" w:hAnsi="Tenorite"/>
          <w:color w:val="C45911" w:themeColor="accent2" w:themeShade="BF"/>
          <w:szCs w:val="24"/>
        </w:rPr>
        <w:t xml:space="preserve"> /</w:t>
      </w:r>
    </w:p>
    <w:p w14:paraId="6AADF2DD" w14:textId="0BA1220B" w:rsidR="001B42BB" w:rsidRPr="00C92711" w:rsidRDefault="00D85BE8" w:rsidP="005B4285">
      <w:pPr>
        <w:spacing w:after="0" w:line="240" w:lineRule="auto"/>
        <w:ind w:left="284" w:hanging="142"/>
        <w:jc w:val="both"/>
        <w:rPr>
          <w:rFonts w:ascii="Tenorite" w:hAnsi="Tenorite"/>
          <w:color w:val="C45911" w:themeColor="accent2" w:themeShade="BF"/>
          <w:szCs w:val="24"/>
        </w:rPr>
      </w:pPr>
      <w:r w:rsidRPr="00C92711">
        <w:rPr>
          <w:rFonts w:ascii="Tenorite" w:hAnsi="Tenorite"/>
          <w:color w:val="C45911" w:themeColor="accent2" w:themeShade="BF"/>
          <w:szCs w:val="24"/>
        </w:rPr>
        <w:t>Lyophilisation /</w:t>
      </w:r>
    </w:p>
    <w:p w14:paraId="2E4AE98B" w14:textId="4E424CA1" w:rsidR="001B42BB" w:rsidRDefault="002B7CB6" w:rsidP="005B4285">
      <w:pPr>
        <w:spacing w:after="0" w:line="240" w:lineRule="auto"/>
        <w:ind w:left="284" w:hanging="142"/>
        <w:jc w:val="both"/>
        <w:rPr>
          <w:rFonts w:ascii="Tenorite" w:hAnsi="Tenorite"/>
          <w:color w:val="C45911" w:themeColor="accent2" w:themeShade="BF"/>
          <w:szCs w:val="24"/>
        </w:rPr>
      </w:pPr>
      <w:r w:rsidRPr="00C92711">
        <w:rPr>
          <w:rFonts w:ascii="Tenorite" w:hAnsi="Tenorite"/>
          <w:color w:val="C45911" w:themeColor="accent2" w:themeShade="BF"/>
          <w:szCs w:val="24"/>
        </w:rPr>
        <w:t>Surgélation</w:t>
      </w:r>
      <w:r w:rsidR="006F4BA9" w:rsidRPr="00C92711">
        <w:rPr>
          <w:rFonts w:ascii="Tenorite" w:hAnsi="Tenorite"/>
          <w:color w:val="C45911" w:themeColor="accent2" w:themeShade="BF"/>
          <w:szCs w:val="24"/>
        </w:rPr>
        <w:t xml:space="preserve"> /</w:t>
      </w:r>
    </w:p>
    <w:p w14:paraId="4085A657" w14:textId="77777777" w:rsidR="00186F4B" w:rsidRPr="00C92711" w:rsidRDefault="00186F4B" w:rsidP="005B4285">
      <w:pPr>
        <w:spacing w:after="0" w:line="240" w:lineRule="auto"/>
        <w:ind w:left="284" w:hanging="142"/>
        <w:jc w:val="both"/>
        <w:rPr>
          <w:rFonts w:ascii="Tenorite" w:hAnsi="Tenorite"/>
          <w:color w:val="C45911" w:themeColor="accent2" w:themeShade="BF"/>
          <w:szCs w:val="24"/>
        </w:rPr>
      </w:pPr>
    </w:p>
    <w:p w14:paraId="652FAA4C" w14:textId="77777777" w:rsidR="00D025D4" w:rsidRPr="005B4285" w:rsidRDefault="00D025D4" w:rsidP="005B4285">
      <w:pPr>
        <w:spacing w:after="0" w:line="276" w:lineRule="auto"/>
        <w:ind w:left="709" w:hanging="283"/>
        <w:jc w:val="both"/>
        <w:rPr>
          <w:rFonts w:ascii="Tenorite" w:hAnsi="Tenorite" w:cs="Tahoma"/>
          <w:b/>
          <w:color w:val="EF671A"/>
          <w:sz w:val="8"/>
          <w:szCs w:val="8"/>
          <w:u w:val="single"/>
        </w:rPr>
      </w:pPr>
    </w:p>
    <w:p w14:paraId="70A5146D" w14:textId="36DC1464" w:rsidR="00D025D4" w:rsidRDefault="00D025D4" w:rsidP="005B4285">
      <w:pPr>
        <w:spacing w:after="0" w:line="276" w:lineRule="auto"/>
        <w:ind w:left="426" w:hanging="283"/>
        <w:jc w:val="both"/>
        <w:rPr>
          <w:rFonts w:ascii="Tenorite" w:hAnsi="Tenorite" w:cs="Tahoma"/>
          <w:b/>
          <w:color w:val="EF671A"/>
          <w:sz w:val="24"/>
          <w:szCs w:val="24"/>
        </w:rPr>
      </w:pPr>
      <w:r w:rsidRPr="005B4285">
        <w:rPr>
          <w:rFonts w:ascii="Tenorite" w:hAnsi="Tenorite" w:cs="Tahoma"/>
          <w:b/>
          <w:color w:val="EF671A"/>
          <w:sz w:val="32"/>
          <w:szCs w:val="32"/>
          <w:u w:val="single"/>
        </w:rPr>
        <w:t>Partie 2 : Règlementation verticale</w:t>
      </w:r>
      <w:r w:rsidRPr="005B4285">
        <w:rPr>
          <w:rFonts w:ascii="Tenorite" w:hAnsi="Tenorite" w:cs="Tahoma"/>
          <w:b/>
          <w:color w:val="EF671A"/>
          <w:sz w:val="32"/>
          <w:szCs w:val="32"/>
        </w:rPr>
        <w:t xml:space="preserve"> : </w:t>
      </w:r>
      <w:r w:rsidRPr="005B4285">
        <w:rPr>
          <w:rFonts w:ascii="Tenorite" w:hAnsi="Tenorite" w:cs="Tahoma"/>
          <w:b/>
          <w:color w:val="EF671A"/>
          <w:sz w:val="24"/>
          <w:szCs w:val="24"/>
        </w:rPr>
        <w:t>Secteurs d’activité (Matières traitées et produits finis)</w:t>
      </w:r>
      <w:r w:rsidR="00D85BE8">
        <w:rPr>
          <w:rFonts w:ascii="Tenorite" w:hAnsi="Tenorite" w:cs="Tahoma"/>
          <w:b/>
          <w:color w:val="EF671A"/>
          <w:sz w:val="24"/>
          <w:szCs w:val="24"/>
        </w:rPr>
        <w:t xml:space="preserve"> </w:t>
      </w:r>
    </w:p>
    <w:p w14:paraId="227D4157" w14:textId="2F88B25E" w:rsidR="00D025D4" w:rsidRPr="005B4285" w:rsidRDefault="00E464D9" w:rsidP="005B4285">
      <w:pPr>
        <w:shd w:val="clear" w:color="auto" w:fill="D9D9D9" w:themeFill="background1" w:themeFillShade="D9"/>
        <w:spacing w:after="0"/>
        <w:ind w:left="426" w:hanging="283"/>
        <w:jc w:val="both"/>
        <w:rPr>
          <w:rFonts w:ascii="Tenorite" w:hAnsi="Tenorite"/>
          <w:b/>
          <w:color w:val="833C0B" w:themeColor="accent2" w:themeShade="80"/>
          <w:sz w:val="24"/>
          <w:szCs w:val="24"/>
        </w:rPr>
      </w:pPr>
      <w:r w:rsidRPr="005B4285">
        <w:rPr>
          <w:rFonts w:ascii="Tenorite" w:hAnsi="Tenorite"/>
          <w:b/>
          <w:color w:val="833C0B" w:themeColor="accent2" w:themeShade="80"/>
          <w:sz w:val="24"/>
          <w:szCs w:val="24"/>
        </w:rPr>
        <w:t>CEREALES ET PRODUITS DU GRAIN</w:t>
      </w:r>
    </w:p>
    <w:p w14:paraId="5528EBC8" w14:textId="05E5E5D2" w:rsidR="00E464D9" w:rsidRPr="00C92711" w:rsidRDefault="00E464D9" w:rsidP="00D94FA6">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Céréales</w:t>
      </w:r>
      <w:r w:rsidR="00D94FA6" w:rsidRPr="00C92711">
        <w:rPr>
          <w:rFonts w:ascii="Tenorite" w:hAnsi="Tenorite"/>
          <w:color w:val="C45911" w:themeColor="accent2" w:themeShade="BF"/>
          <w:szCs w:val="20"/>
        </w:rPr>
        <w:t xml:space="preserve"> /</w:t>
      </w:r>
    </w:p>
    <w:p w14:paraId="1DEA3D7C" w14:textId="784A8461" w:rsidR="00E464D9" w:rsidRPr="00C92711" w:rsidRDefault="00E464D9" w:rsidP="00D94FA6">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Farines</w:t>
      </w:r>
      <w:r w:rsidR="00186F4B">
        <w:rPr>
          <w:rFonts w:ascii="Tenorite" w:hAnsi="Tenorite"/>
          <w:color w:val="C45911" w:themeColor="accent2" w:themeShade="BF"/>
          <w:szCs w:val="20"/>
        </w:rPr>
        <w:t xml:space="preserve"> /</w:t>
      </w:r>
    </w:p>
    <w:p w14:paraId="3E45921E" w14:textId="79ACC95A" w:rsidR="00E464D9" w:rsidRPr="00C92711" w:rsidRDefault="00E464D9" w:rsidP="00D94FA6">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Pains, viennoiseries</w:t>
      </w:r>
      <w:r w:rsidR="00186F4B">
        <w:rPr>
          <w:rFonts w:ascii="Tenorite" w:hAnsi="Tenorite"/>
          <w:color w:val="C45911" w:themeColor="accent2" w:themeShade="BF"/>
          <w:szCs w:val="20"/>
        </w:rPr>
        <w:t xml:space="preserve"> /</w:t>
      </w:r>
    </w:p>
    <w:p w14:paraId="31CA8B86" w14:textId="6EB5EF5F" w:rsidR="00E464D9" w:rsidRDefault="00E464D9" w:rsidP="00D94FA6">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Pâtisseries</w:t>
      </w:r>
      <w:r w:rsidR="00186F4B">
        <w:rPr>
          <w:rFonts w:ascii="Tenorite" w:hAnsi="Tenorite"/>
          <w:color w:val="C45911" w:themeColor="accent2" w:themeShade="BF"/>
          <w:szCs w:val="20"/>
        </w:rPr>
        <w:t xml:space="preserve"> /</w:t>
      </w:r>
    </w:p>
    <w:p w14:paraId="0AD6D88C" w14:textId="77777777" w:rsidR="00186F4B" w:rsidRPr="00C92711" w:rsidRDefault="00186F4B" w:rsidP="00D94FA6">
      <w:pPr>
        <w:spacing w:after="0" w:line="240" w:lineRule="auto"/>
        <w:ind w:left="426" w:hanging="283"/>
        <w:jc w:val="both"/>
        <w:rPr>
          <w:rFonts w:ascii="Tenorite" w:hAnsi="Tenorite"/>
          <w:color w:val="C45911" w:themeColor="accent2" w:themeShade="BF"/>
          <w:szCs w:val="20"/>
        </w:rPr>
      </w:pPr>
    </w:p>
    <w:p w14:paraId="42576B6C" w14:textId="77777777" w:rsidR="00E464D9" w:rsidRPr="00C92711" w:rsidRDefault="00E464D9" w:rsidP="00D94FA6">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Signes officiels de qualité</w:t>
      </w:r>
    </w:p>
    <w:p w14:paraId="4A5C0296" w14:textId="77777777" w:rsidR="00D94FA6" w:rsidRPr="00D94FA6" w:rsidRDefault="00D94FA6" w:rsidP="00D94FA6">
      <w:pPr>
        <w:pStyle w:val="Textebrut"/>
        <w:ind w:left="142"/>
        <w:jc w:val="both"/>
        <w:rPr>
          <w:rFonts w:ascii="Tenorite" w:hAnsi="Tenorite"/>
        </w:rPr>
      </w:pPr>
      <w:hyperlink r:id="rId44" w:history="1">
        <w:r w:rsidRPr="00D94FA6">
          <w:rPr>
            <w:rStyle w:val="Lienhypertexte"/>
            <w:rFonts w:ascii="Tenorite" w:hAnsi="Tenorite"/>
            <w:color w:val="auto"/>
          </w:rPr>
          <w:t>Avis</w:t>
        </w:r>
      </w:hyperlink>
      <w:r w:rsidRPr="00D94FA6">
        <w:rPr>
          <w:rFonts w:ascii="Tenorite" w:hAnsi="Tenorite"/>
        </w:rPr>
        <w:t xml:space="preserve"> relatif à l'ouverture d'une procédure nationale d'opposition pour la demande de modification du cahier des charges de l'indication géographique protégée « Gâche vendéenne » (JORF 02/07/2025)</w:t>
      </w:r>
    </w:p>
    <w:p w14:paraId="46DC05CA" w14:textId="77777777" w:rsidR="00D94FA6" w:rsidRPr="00D94FA6" w:rsidRDefault="00D94FA6" w:rsidP="00D94FA6">
      <w:pPr>
        <w:pStyle w:val="Textebrut"/>
        <w:ind w:left="142"/>
        <w:jc w:val="both"/>
        <w:rPr>
          <w:rFonts w:ascii="Tenorite" w:hAnsi="Tenorite"/>
        </w:rPr>
      </w:pPr>
    </w:p>
    <w:p w14:paraId="01D6F34C" w14:textId="77777777" w:rsidR="00D94FA6" w:rsidRDefault="00D94FA6" w:rsidP="00D94FA6">
      <w:pPr>
        <w:pStyle w:val="Textebrut"/>
        <w:ind w:left="142"/>
        <w:jc w:val="both"/>
        <w:rPr>
          <w:rFonts w:ascii="Tenorite" w:hAnsi="Tenorite"/>
        </w:rPr>
      </w:pPr>
      <w:hyperlink r:id="rId45" w:history="1">
        <w:r w:rsidRPr="00D94FA6">
          <w:rPr>
            <w:rStyle w:val="Lienhypertexte"/>
            <w:rFonts w:ascii="Tenorite" w:hAnsi="Tenorite"/>
            <w:color w:val="auto"/>
          </w:rPr>
          <w:t>Avis</w:t>
        </w:r>
      </w:hyperlink>
      <w:r w:rsidRPr="00D94FA6">
        <w:rPr>
          <w:rFonts w:ascii="Tenorite" w:hAnsi="Tenorite"/>
        </w:rPr>
        <w:t xml:space="preserve"> relatif à l'ouverture d'une procédure nationale d'opposition pour la demande de modification du cahier des charges de l'indication géographique protégée « Brioche vendéenne » (JORF 02/07/2025)</w:t>
      </w:r>
    </w:p>
    <w:p w14:paraId="7318D33A" w14:textId="77777777" w:rsidR="00D94FA6" w:rsidRPr="00D94FA6" w:rsidRDefault="00D94FA6" w:rsidP="00D94FA6">
      <w:pPr>
        <w:pStyle w:val="Textebrut"/>
        <w:ind w:left="142"/>
        <w:jc w:val="both"/>
        <w:rPr>
          <w:rFonts w:ascii="Tenorite" w:hAnsi="Tenorite"/>
        </w:rPr>
      </w:pPr>
    </w:p>
    <w:p w14:paraId="2E406714" w14:textId="77777777" w:rsidR="00D94FA6" w:rsidRPr="00D94FA6" w:rsidRDefault="00D94FA6" w:rsidP="00D94FA6">
      <w:pPr>
        <w:pStyle w:val="Textebrut"/>
        <w:ind w:left="142"/>
        <w:jc w:val="both"/>
        <w:rPr>
          <w:rFonts w:ascii="Tenorite" w:hAnsi="Tenorite"/>
        </w:rPr>
      </w:pPr>
      <w:hyperlink r:id="rId46" w:history="1">
        <w:r w:rsidRPr="00D94FA6">
          <w:rPr>
            <w:rStyle w:val="Lienhypertexte"/>
            <w:rFonts w:ascii="Tenorite" w:hAnsi="Tenorite"/>
            <w:color w:val="auto"/>
          </w:rPr>
          <w:t>Avis</w:t>
        </w:r>
      </w:hyperlink>
      <w:r w:rsidRPr="00D94FA6">
        <w:rPr>
          <w:rFonts w:ascii="Tenorite" w:hAnsi="Tenorite"/>
        </w:rPr>
        <w:t xml:space="preserve"> relatif à l'ouverture d'une procédure nationale d'opposition pour la demande de modification du cahier des charges Label Rouge n° LA 02/02 « Brioche » (JORF 20/07/2025)</w:t>
      </w:r>
    </w:p>
    <w:p w14:paraId="77BF3425" w14:textId="77777777" w:rsidR="00D94FA6" w:rsidRPr="00D94FA6" w:rsidRDefault="00D94FA6" w:rsidP="00D94FA6">
      <w:pPr>
        <w:pStyle w:val="Textebrut"/>
        <w:ind w:left="142"/>
        <w:jc w:val="both"/>
        <w:rPr>
          <w:rFonts w:ascii="Tenorite" w:hAnsi="Tenorite"/>
        </w:rPr>
      </w:pPr>
      <w:r w:rsidRPr="00D94FA6">
        <w:rPr>
          <w:rFonts w:ascii="Tenorite" w:hAnsi="Tenorite"/>
        </w:rPr>
        <w:t xml:space="preserve">        </w:t>
      </w:r>
    </w:p>
    <w:p w14:paraId="7D406407" w14:textId="77777777" w:rsidR="00D94FA6" w:rsidRPr="00D94FA6" w:rsidRDefault="00D94FA6" w:rsidP="00D94FA6">
      <w:pPr>
        <w:pStyle w:val="Textebrut"/>
        <w:ind w:left="142"/>
        <w:jc w:val="both"/>
        <w:rPr>
          <w:rFonts w:ascii="Tenorite" w:hAnsi="Tenorite"/>
        </w:rPr>
      </w:pPr>
      <w:hyperlink r:id="rId47" w:history="1">
        <w:r w:rsidRPr="00D94FA6">
          <w:rPr>
            <w:rStyle w:val="Lienhypertexte"/>
            <w:rFonts w:ascii="Tenorite" w:hAnsi="Tenorite"/>
            <w:color w:val="auto"/>
          </w:rPr>
          <w:t>Arrêté</w:t>
        </w:r>
      </w:hyperlink>
      <w:r w:rsidRPr="00D94FA6">
        <w:rPr>
          <w:rFonts w:ascii="Tenorite" w:hAnsi="Tenorite"/>
        </w:rPr>
        <w:t xml:space="preserve"> du 17 juillet 2025 relatif à l'association du label rouge LA n° 02/02 « Brioche » à l'indication géographique protégée « Brioche vendéenne » (JORF 30/07/2025)</w:t>
      </w:r>
    </w:p>
    <w:p w14:paraId="2A4A52A9" w14:textId="77777777" w:rsidR="00D94FA6" w:rsidRPr="00D94FA6" w:rsidRDefault="00D94FA6" w:rsidP="00D94FA6">
      <w:pPr>
        <w:pStyle w:val="Textebrut"/>
        <w:ind w:left="142"/>
        <w:jc w:val="both"/>
        <w:rPr>
          <w:rFonts w:ascii="Tenorite" w:hAnsi="Tenorite"/>
        </w:rPr>
      </w:pPr>
    </w:p>
    <w:p w14:paraId="0051E973" w14:textId="77777777" w:rsidR="00D94FA6" w:rsidRDefault="00D94FA6" w:rsidP="00D94FA6">
      <w:pPr>
        <w:pStyle w:val="Textebrut"/>
        <w:ind w:left="142"/>
        <w:jc w:val="both"/>
        <w:rPr>
          <w:rFonts w:ascii="Tenorite" w:hAnsi="Tenorite"/>
        </w:rPr>
      </w:pPr>
      <w:hyperlink r:id="rId48" w:history="1">
        <w:r w:rsidRPr="00D94FA6">
          <w:rPr>
            <w:rStyle w:val="Lienhypertexte"/>
            <w:rFonts w:ascii="Tenorite" w:hAnsi="Tenorite"/>
            <w:color w:val="auto"/>
          </w:rPr>
          <w:t>Avis</w:t>
        </w:r>
      </w:hyperlink>
      <w:r w:rsidRPr="00D94FA6">
        <w:rPr>
          <w:rFonts w:ascii="Tenorite" w:hAnsi="Tenorite"/>
        </w:rPr>
        <w:t xml:space="preserve"> modifiant l'avis relatif à l'ouverture d'une procédure nationale d'opposition pour la demande de modification du cahier des charges Label Rouge n° LA 02/02 « Brioche » (JORF 30/07/2025)</w:t>
      </w:r>
    </w:p>
    <w:p w14:paraId="45A393DE" w14:textId="77777777" w:rsidR="00D94FA6" w:rsidRDefault="00D94FA6" w:rsidP="00D94FA6">
      <w:pPr>
        <w:pStyle w:val="Textebrut"/>
        <w:ind w:left="142"/>
        <w:jc w:val="both"/>
        <w:rPr>
          <w:rFonts w:ascii="Tenorite" w:hAnsi="Tenorite"/>
        </w:rPr>
      </w:pPr>
    </w:p>
    <w:p w14:paraId="2B0F2E5E" w14:textId="77777777" w:rsidR="00D94FA6" w:rsidRDefault="00D94FA6" w:rsidP="00D94FA6">
      <w:pPr>
        <w:pStyle w:val="Textebrut"/>
        <w:ind w:left="142"/>
        <w:jc w:val="both"/>
        <w:rPr>
          <w:rFonts w:ascii="Tenorite" w:hAnsi="Tenorite"/>
        </w:rPr>
      </w:pPr>
      <w:hyperlink r:id="rId49" w:history="1">
        <w:r w:rsidRPr="00D94FA6">
          <w:rPr>
            <w:rStyle w:val="Lienhypertexte"/>
            <w:rFonts w:ascii="Tenorite" w:hAnsi="Tenorite"/>
            <w:color w:val="auto"/>
          </w:rPr>
          <w:t>Avis</w:t>
        </w:r>
      </w:hyperlink>
      <w:r w:rsidRPr="00D94FA6">
        <w:rPr>
          <w:rFonts w:ascii="Tenorite" w:hAnsi="Tenorite"/>
        </w:rPr>
        <w:t xml:space="preserve"> relatif à l'ouverture d'une procédure nationale d'opposition pour la demande de reconnaissance du label rouge n° LR 07/24 « Farine T55 pour produits briochés et pâtes levées feuilletées » (JORF 19/07/2025)</w:t>
      </w:r>
    </w:p>
    <w:p w14:paraId="73A862CB" w14:textId="77777777" w:rsidR="00D94FA6" w:rsidRDefault="00D94FA6" w:rsidP="00D94FA6">
      <w:pPr>
        <w:pStyle w:val="Textebrut"/>
        <w:ind w:left="142"/>
        <w:jc w:val="both"/>
        <w:rPr>
          <w:rFonts w:ascii="Tenorite" w:hAnsi="Tenorite"/>
        </w:rPr>
      </w:pPr>
    </w:p>
    <w:p w14:paraId="112697B4" w14:textId="77777777" w:rsidR="00D94FA6" w:rsidRDefault="00D94FA6" w:rsidP="00D94FA6">
      <w:pPr>
        <w:pStyle w:val="Textebrut"/>
        <w:ind w:left="142"/>
        <w:jc w:val="both"/>
        <w:rPr>
          <w:rFonts w:ascii="Tenorite" w:hAnsi="Tenorite"/>
        </w:rPr>
      </w:pPr>
      <w:hyperlink r:id="rId50" w:history="1">
        <w:r w:rsidRPr="00D94FA6">
          <w:rPr>
            <w:rStyle w:val="Lienhypertexte"/>
            <w:rFonts w:ascii="Tenorite" w:hAnsi="Tenorite"/>
            <w:color w:val="auto"/>
          </w:rPr>
          <w:t>Publication</w:t>
        </w:r>
      </w:hyperlink>
      <w:r w:rsidRPr="00D94FA6">
        <w:rPr>
          <w:rFonts w:ascii="Tenorite" w:hAnsi="Tenorite"/>
        </w:rPr>
        <w:t xml:space="preserve"> de la communication d’une modification standard approuvée du cahier des charges d’une indication géographique conformément à l’article 5, paragraphe 4, du règlement délégué (UE) 2025/27 de la Commission [Raviole du Dauphiné] (JOUE 17/07/2025)</w:t>
      </w:r>
    </w:p>
    <w:p w14:paraId="49463B3C" w14:textId="77777777" w:rsidR="00D94FA6" w:rsidRPr="00D94FA6" w:rsidRDefault="00D94FA6" w:rsidP="00D94FA6">
      <w:pPr>
        <w:pStyle w:val="Textebrut"/>
        <w:ind w:left="142"/>
        <w:jc w:val="both"/>
        <w:rPr>
          <w:rFonts w:ascii="Tenorite" w:hAnsi="Tenorite"/>
        </w:rPr>
      </w:pPr>
    </w:p>
    <w:p w14:paraId="57B86A9D" w14:textId="2320FAA8" w:rsidR="00E464D9" w:rsidRPr="005B4285" w:rsidRDefault="00E464D9" w:rsidP="005B4285">
      <w:pPr>
        <w:shd w:val="clear" w:color="auto" w:fill="D9D9D9" w:themeFill="background1" w:themeFillShade="D9"/>
        <w:spacing w:after="0"/>
        <w:ind w:left="426" w:hanging="283"/>
        <w:jc w:val="both"/>
        <w:rPr>
          <w:rFonts w:ascii="Tenorite" w:hAnsi="Tenorite"/>
          <w:b/>
        </w:rPr>
      </w:pPr>
      <w:r w:rsidRPr="005B4285">
        <w:rPr>
          <w:rFonts w:ascii="Tenorite" w:hAnsi="Tenorite"/>
          <w:b/>
          <w:color w:val="833C0B" w:themeColor="accent2" w:themeShade="80"/>
          <w:sz w:val="24"/>
          <w:szCs w:val="24"/>
        </w:rPr>
        <w:t xml:space="preserve">HUILES ET CORPS GRAS </w:t>
      </w:r>
      <w:r w:rsidRPr="005B4285">
        <w:rPr>
          <w:rFonts w:ascii="Tenorite" w:hAnsi="Tenorite"/>
          <w:b/>
        </w:rPr>
        <w:t xml:space="preserve"> </w:t>
      </w:r>
    </w:p>
    <w:p w14:paraId="6541BAAC" w14:textId="2809C483" w:rsidR="00E464D9" w:rsidRPr="00C92711" w:rsidRDefault="00E464D9" w:rsidP="003C17F9">
      <w:pPr>
        <w:spacing w:after="0" w:line="240" w:lineRule="auto"/>
        <w:ind w:left="426" w:right="-284" w:hanging="284"/>
        <w:jc w:val="both"/>
        <w:rPr>
          <w:rFonts w:ascii="Tenorite" w:hAnsi="Tenorite"/>
          <w:color w:val="C45911" w:themeColor="accent2" w:themeShade="BF"/>
          <w:szCs w:val="20"/>
        </w:rPr>
      </w:pPr>
      <w:r w:rsidRPr="00C92711">
        <w:rPr>
          <w:rFonts w:ascii="Tenorite" w:hAnsi="Tenorite"/>
          <w:color w:val="C45911" w:themeColor="accent2" w:themeShade="BF"/>
          <w:szCs w:val="20"/>
        </w:rPr>
        <w:t>Huiles et graisses</w:t>
      </w:r>
      <w:r w:rsidR="003C17F9" w:rsidRPr="00C92711">
        <w:rPr>
          <w:rFonts w:ascii="Tenorite" w:hAnsi="Tenorite"/>
          <w:color w:val="C45911" w:themeColor="accent2" w:themeShade="BF"/>
          <w:szCs w:val="20"/>
        </w:rPr>
        <w:t xml:space="preserve"> /</w:t>
      </w:r>
    </w:p>
    <w:p w14:paraId="77FF2622" w14:textId="77777777" w:rsidR="00E464D9" w:rsidRPr="005B4285" w:rsidRDefault="00E464D9" w:rsidP="003C17F9">
      <w:pPr>
        <w:spacing w:after="0" w:line="240" w:lineRule="auto"/>
        <w:ind w:left="426" w:hanging="284"/>
        <w:jc w:val="both"/>
        <w:rPr>
          <w:rFonts w:ascii="Tenorite" w:hAnsi="Tenorite"/>
          <w:b/>
        </w:rPr>
      </w:pPr>
    </w:p>
    <w:p w14:paraId="7CCFE82A" w14:textId="77777777" w:rsidR="00D025D4" w:rsidRPr="005B4285" w:rsidRDefault="00D025D4" w:rsidP="005B4285">
      <w:pPr>
        <w:shd w:val="clear" w:color="auto" w:fill="D9D9D9" w:themeFill="background1" w:themeFillShade="D9"/>
        <w:spacing w:after="0"/>
        <w:ind w:left="426" w:hanging="283"/>
        <w:jc w:val="both"/>
        <w:rPr>
          <w:rFonts w:ascii="Tenorite" w:hAnsi="Tenorite"/>
          <w:b/>
        </w:rPr>
      </w:pPr>
      <w:r w:rsidRPr="005B4285">
        <w:rPr>
          <w:rFonts w:ascii="Tenorite" w:hAnsi="Tenorite"/>
          <w:b/>
          <w:color w:val="833C0B" w:themeColor="accent2" w:themeShade="80"/>
          <w:sz w:val="24"/>
          <w:szCs w:val="24"/>
        </w:rPr>
        <w:t>LAITS ET PRODUITS LAITIERS</w:t>
      </w:r>
      <w:r w:rsidRPr="005B4285">
        <w:rPr>
          <w:rFonts w:ascii="Tenorite" w:hAnsi="Tenorite"/>
          <w:b/>
        </w:rPr>
        <w:t xml:space="preserve"> </w:t>
      </w:r>
    </w:p>
    <w:p w14:paraId="4F0A9628" w14:textId="019D5435" w:rsidR="00D025D4" w:rsidRPr="00C92711" w:rsidRDefault="00D025D4" w:rsidP="003C17F9">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Beurre</w:t>
      </w:r>
      <w:r w:rsidR="003C17F9" w:rsidRPr="00C92711">
        <w:rPr>
          <w:rFonts w:ascii="Tenorite" w:hAnsi="Tenorite"/>
          <w:color w:val="C45911" w:themeColor="accent2" w:themeShade="BF"/>
          <w:szCs w:val="20"/>
        </w:rPr>
        <w:t xml:space="preserve"> /</w:t>
      </w:r>
    </w:p>
    <w:p w14:paraId="73FC06B4" w14:textId="3D51AE6D" w:rsidR="003C17F9" w:rsidRPr="00C92711" w:rsidRDefault="00D025D4" w:rsidP="003C17F9">
      <w:pPr>
        <w:shd w:val="clear" w:color="auto" w:fill="FFFFFF"/>
        <w:spacing w:after="0" w:line="240" w:lineRule="auto"/>
        <w:ind w:left="142"/>
        <w:jc w:val="both"/>
        <w:rPr>
          <w:rFonts w:ascii="Tenorite" w:hAnsi="Tenorite"/>
          <w:color w:val="C45911" w:themeColor="accent2" w:themeShade="BF"/>
          <w:szCs w:val="20"/>
        </w:rPr>
      </w:pPr>
      <w:r w:rsidRPr="00C92711">
        <w:rPr>
          <w:rFonts w:ascii="Tenorite" w:hAnsi="Tenorite"/>
          <w:color w:val="C45911" w:themeColor="accent2" w:themeShade="BF"/>
          <w:szCs w:val="20"/>
        </w:rPr>
        <w:t>Fromages</w:t>
      </w:r>
      <w:r w:rsidR="00186F4B">
        <w:rPr>
          <w:rFonts w:ascii="Tenorite" w:hAnsi="Tenorite"/>
          <w:color w:val="C45911" w:themeColor="accent2" w:themeShade="BF"/>
          <w:szCs w:val="20"/>
        </w:rPr>
        <w:t xml:space="preserve"> /</w:t>
      </w:r>
    </w:p>
    <w:p w14:paraId="094503FD" w14:textId="77777777" w:rsidR="003C17F9" w:rsidRPr="003C17F9" w:rsidRDefault="003C17F9" w:rsidP="003C17F9">
      <w:pPr>
        <w:shd w:val="clear" w:color="auto" w:fill="FFFFFF"/>
        <w:spacing w:after="0" w:line="240" w:lineRule="auto"/>
        <w:ind w:left="142"/>
        <w:jc w:val="both"/>
        <w:rPr>
          <w:rFonts w:ascii="Tenorite" w:eastAsia="Times New Roman" w:hAnsi="Tenorite" w:cs="Times New Roman"/>
          <w:lang w:eastAsia="fr-FR"/>
        </w:rPr>
      </w:pPr>
    </w:p>
    <w:p w14:paraId="0AB70DB1" w14:textId="77777777" w:rsidR="003C17F9" w:rsidRPr="00C92711" w:rsidRDefault="00D025D4" w:rsidP="003C17F9">
      <w:pPr>
        <w:spacing w:after="0" w:line="240" w:lineRule="auto"/>
        <w:ind w:left="142"/>
        <w:jc w:val="both"/>
        <w:rPr>
          <w:rFonts w:ascii="Tenorite" w:hAnsi="Tenorite"/>
          <w:color w:val="C45911" w:themeColor="accent2" w:themeShade="BF"/>
          <w:szCs w:val="20"/>
        </w:rPr>
      </w:pPr>
      <w:r w:rsidRPr="00C92711">
        <w:rPr>
          <w:rFonts w:ascii="Tenorite" w:hAnsi="Tenorite"/>
          <w:color w:val="C45911" w:themeColor="accent2" w:themeShade="BF"/>
          <w:szCs w:val="20"/>
        </w:rPr>
        <w:t>Lait</w:t>
      </w:r>
      <w:r w:rsidR="0012180A" w:rsidRPr="00C92711">
        <w:rPr>
          <w:rFonts w:ascii="Tenorite" w:hAnsi="Tenorite"/>
          <w:color w:val="C45911" w:themeColor="accent2" w:themeShade="BF"/>
          <w:szCs w:val="20"/>
        </w:rPr>
        <w:t>, produits laitiers</w:t>
      </w:r>
    </w:p>
    <w:p w14:paraId="35ACD7DD" w14:textId="77777777" w:rsidR="003C17F9" w:rsidRDefault="003C17F9" w:rsidP="003C17F9">
      <w:pPr>
        <w:spacing w:after="0" w:line="240" w:lineRule="auto"/>
        <w:ind w:left="142"/>
        <w:jc w:val="both"/>
        <w:rPr>
          <w:rFonts w:ascii="Tenorite" w:hAnsi="Tenorite"/>
        </w:rPr>
      </w:pPr>
      <w:r w:rsidRPr="003C17F9">
        <w:rPr>
          <w:rFonts w:ascii="Tenorite" w:hAnsi="Tenorite"/>
        </w:rPr>
        <w:t>Instruction technique </w:t>
      </w:r>
      <w:hyperlink r:id="rId51" w:history="1">
        <w:r w:rsidRPr="003C17F9">
          <w:rPr>
            <w:rStyle w:val="Lienhypertexte"/>
            <w:rFonts w:ascii="Tenorite" w:hAnsi="Tenorite"/>
            <w:color w:val="auto"/>
          </w:rPr>
          <w:t>DGAL/SDSSA/2025-539</w:t>
        </w:r>
      </w:hyperlink>
      <w:r w:rsidRPr="003C17F9">
        <w:rPr>
          <w:rFonts w:ascii="Tenorite" w:hAnsi="Tenorite"/>
        </w:rPr>
        <w:t> du 20-08-2025 - Méthodes de détection des résidus d’antibiotiques dans le cadre du paiement du lait cru en fonction de sa qualité hygiénique et sanitaire (DGAL)</w:t>
      </w:r>
    </w:p>
    <w:p w14:paraId="74C572A6" w14:textId="77777777" w:rsidR="003C17F9" w:rsidRDefault="003C17F9" w:rsidP="003C17F9">
      <w:pPr>
        <w:spacing w:after="0" w:line="240" w:lineRule="auto"/>
        <w:ind w:left="142"/>
        <w:jc w:val="both"/>
        <w:rPr>
          <w:rFonts w:ascii="Tenorite" w:hAnsi="Tenorite"/>
        </w:rPr>
      </w:pPr>
    </w:p>
    <w:p w14:paraId="594BA401" w14:textId="2DE37973" w:rsidR="003C17F9" w:rsidRDefault="003C17F9" w:rsidP="003C17F9">
      <w:pPr>
        <w:spacing w:after="0" w:line="240" w:lineRule="auto"/>
        <w:ind w:left="142"/>
        <w:jc w:val="both"/>
        <w:rPr>
          <w:rFonts w:ascii="Tenorite" w:hAnsi="Tenorite" w:cstheme="minorHAnsi"/>
        </w:rPr>
      </w:pPr>
      <w:hyperlink r:id="rId52" w:tgtFrame="_blank" w:history="1">
        <w:r w:rsidRPr="003C17F9">
          <w:rPr>
            <w:rStyle w:val="Lienhypertexte"/>
            <w:rFonts w:ascii="Tenorite" w:hAnsi="Tenorite" w:cstheme="minorHAnsi"/>
            <w:color w:val="auto"/>
          </w:rPr>
          <w:t xml:space="preserve">Avis relatif à une demande d’extension d’autorisation d’emploi de la </w:t>
        </w:r>
        <w:proofErr w:type="spellStart"/>
        <w:r w:rsidRPr="003C17F9">
          <w:rPr>
            <w:rStyle w:val="Lienhypertexte"/>
            <w:rFonts w:ascii="Tenorite" w:hAnsi="Tenorite" w:cstheme="minorHAnsi"/>
            <w:color w:val="auto"/>
          </w:rPr>
          <w:t>transglutaminase</w:t>
        </w:r>
        <w:proofErr w:type="spellEnd"/>
        <w:r w:rsidRPr="003C17F9">
          <w:rPr>
            <w:rStyle w:val="Lienhypertexte"/>
            <w:rFonts w:ascii="Tenorite" w:hAnsi="Tenorite" w:cstheme="minorHAnsi"/>
            <w:color w:val="auto"/>
          </w:rPr>
          <w:t xml:space="preserve"> issue d’une souche non génétiquement modifiée de Streptomyces </w:t>
        </w:r>
        <w:proofErr w:type="spellStart"/>
        <w:r w:rsidRPr="003C17F9">
          <w:rPr>
            <w:rStyle w:val="Lienhypertexte"/>
            <w:rFonts w:ascii="Tenorite" w:hAnsi="Tenorite" w:cstheme="minorHAnsi"/>
            <w:color w:val="auto"/>
          </w:rPr>
          <w:t>mobaraensis</w:t>
        </w:r>
        <w:proofErr w:type="spellEnd"/>
        <w:r w:rsidRPr="003C17F9">
          <w:rPr>
            <w:rStyle w:val="Lienhypertexte"/>
            <w:rFonts w:ascii="Tenorite" w:hAnsi="Tenorite" w:cstheme="minorHAnsi"/>
            <w:color w:val="auto"/>
          </w:rPr>
          <w:t xml:space="preserve"> (synonyme antérieur </w:t>
        </w:r>
        <w:proofErr w:type="spellStart"/>
        <w:r w:rsidRPr="003C17F9">
          <w:rPr>
            <w:rStyle w:val="Lienhypertexte"/>
            <w:rFonts w:ascii="Tenorite" w:hAnsi="Tenorite" w:cstheme="minorHAnsi"/>
            <w:color w:val="auto"/>
          </w:rPr>
          <w:t>Streptoverticillium</w:t>
        </w:r>
        <w:proofErr w:type="spellEnd"/>
        <w:r w:rsidRPr="003C17F9">
          <w:rPr>
            <w:rStyle w:val="Lienhypertexte"/>
            <w:rFonts w:ascii="Tenorite" w:hAnsi="Tenorite" w:cstheme="minorHAnsi"/>
            <w:color w:val="auto"/>
          </w:rPr>
          <w:t xml:space="preserve"> </w:t>
        </w:r>
        <w:proofErr w:type="spellStart"/>
        <w:r w:rsidRPr="003C17F9">
          <w:rPr>
            <w:rStyle w:val="Lienhypertexte"/>
            <w:rFonts w:ascii="Tenorite" w:hAnsi="Tenorite" w:cstheme="minorHAnsi"/>
            <w:color w:val="auto"/>
          </w:rPr>
          <w:t>mobaraense</w:t>
        </w:r>
        <w:proofErr w:type="spellEnd"/>
        <w:r w:rsidRPr="003C17F9">
          <w:rPr>
            <w:rStyle w:val="Lienhypertexte"/>
            <w:rFonts w:ascii="Tenorite" w:hAnsi="Tenorite" w:cstheme="minorHAnsi"/>
            <w:color w:val="auto"/>
          </w:rPr>
          <w:t xml:space="preserve">) pour la </w:t>
        </w:r>
        <w:r w:rsidRPr="003C17F9">
          <w:rPr>
            <w:rStyle w:val="Lienhypertexte"/>
            <w:rFonts w:ascii="Tenorite" w:hAnsi="Tenorite" w:cstheme="minorHAnsi"/>
            <w:color w:val="auto"/>
          </w:rPr>
          <w:lastRenderedPageBreak/>
          <w:t>production de poudres de lait, de poudres de produits laitiers, de protéines de lactosérum, de poudres de lactosérum et pour la transformation de végétaux dans la production d’analogues de produits laitiers</w:t>
        </w:r>
      </w:hyperlink>
      <w:r w:rsidRPr="003C17F9">
        <w:rPr>
          <w:rFonts w:ascii="Tenorite" w:hAnsi="Tenorite" w:cstheme="minorHAnsi"/>
        </w:rPr>
        <w:t xml:space="preserve"> – avis signé le 22/04/2025</w:t>
      </w:r>
    </w:p>
    <w:p w14:paraId="08F43676" w14:textId="45DF9853" w:rsidR="00D025D4" w:rsidRPr="005B4285" w:rsidRDefault="00D025D4" w:rsidP="005B4285">
      <w:pPr>
        <w:ind w:left="426" w:hanging="283"/>
        <w:jc w:val="both"/>
        <w:rPr>
          <w:rFonts w:ascii="Tenorite" w:hAnsi="Tenorite"/>
          <w:color w:val="C45911" w:themeColor="accent2" w:themeShade="BF"/>
          <w:sz w:val="20"/>
          <w:szCs w:val="18"/>
        </w:rPr>
      </w:pPr>
    </w:p>
    <w:p w14:paraId="3DF3BB2A" w14:textId="77777777" w:rsidR="003C17F9" w:rsidRPr="00C92711" w:rsidRDefault="0012180A" w:rsidP="003C17F9">
      <w:pPr>
        <w:pStyle w:val="Textebrut"/>
        <w:ind w:left="142"/>
        <w:jc w:val="both"/>
        <w:rPr>
          <w:rFonts w:ascii="Tenorite" w:hAnsi="Tenorite"/>
          <w:color w:val="C45911" w:themeColor="accent2" w:themeShade="BF"/>
          <w:szCs w:val="20"/>
        </w:rPr>
      </w:pPr>
      <w:r w:rsidRPr="00C92711">
        <w:rPr>
          <w:rFonts w:ascii="Tenorite" w:hAnsi="Tenorite"/>
          <w:color w:val="C45911" w:themeColor="accent2" w:themeShade="BF"/>
          <w:szCs w:val="20"/>
        </w:rPr>
        <w:t>Signes officiels de qualité</w:t>
      </w:r>
    </w:p>
    <w:p w14:paraId="064182B4" w14:textId="77777777" w:rsidR="003C17F9" w:rsidRDefault="003C17F9" w:rsidP="003C17F9">
      <w:pPr>
        <w:spacing w:after="0" w:line="240" w:lineRule="auto"/>
        <w:ind w:left="142"/>
        <w:jc w:val="both"/>
        <w:rPr>
          <w:rFonts w:ascii="Tenorite" w:hAnsi="Tenorite"/>
        </w:rPr>
      </w:pPr>
      <w:hyperlink r:id="rId53" w:history="1">
        <w:r w:rsidRPr="003C17F9">
          <w:rPr>
            <w:rStyle w:val="Lienhypertexte"/>
            <w:rFonts w:ascii="Tenorite" w:hAnsi="Tenorite"/>
            <w:color w:val="auto"/>
          </w:rPr>
          <w:t>Publication</w:t>
        </w:r>
      </w:hyperlink>
      <w:r w:rsidRPr="003C17F9">
        <w:rPr>
          <w:rFonts w:ascii="Tenorite" w:hAnsi="Tenorite"/>
        </w:rPr>
        <w:t xml:space="preserve"> de la communication d’une modification standard approuvée du cahier des charges d’une indication géographique conformément à l’article 5, paragraphe 4, du règlement délégué (UE) 2025/27 de la Commission [Beaufort] (JOUE 22/07/2025)</w:t>
      </w:r>
    </w:p>
    <w:p w14:paraId="218E388E" w14:textId="77777777" w:rsidR="003C17F9" w:rsidRPr="003C17F9" w:rsidRDefault="003C17F9" w:rsidP="003C17F9">
      <w:pPr>
        <w:spacing w:after="0" w:line="240" w:lineRule="auto"/>
        <w:ind w:left="142"/>
        <w:jc w:val="both"/>
        <w:rPr>
          <w:rFonts w:ascii="Tenorite" w:hAnsi="Tenorite"/>
        </w:rPr>
      </w:pPr>
    </w:p>
    <w:p w14:paraId="4E0855B9" w14:textId="0B9A6A7C" w:rsidR="003C17F9" w:rsidRPr="003C17F9" w:rsidRDefault="003C17F9" w:rsidP="003C17F9">
      <w:pPr>
        <w:pStyle w:val="Textebrut"/>
        <w:ind w:left="142"/>
        <w:jc w:val="both"/>
        <w:rPr>
          <w:rFonts w:ascii="Tenorite" w:hAnsi="Tenorite"/>
          <w:szCs w:val="22"/>
        </w:rPr>
      </w:pPr>
      <w:hyperlink r:id="rId54" w:history="1">
        <w:r w:rsidRPr="003C17F9">
          <w:rPr>
            <w:rStyle w:val="Lienhypertexte"/>
            <w:rFonts w:ascii="Tenorite" w:hAnsi="Tenorite"/>
            <w:color w:val="auto"/>
            <w:szCs w:val="22"/>
          </w:rPr>
          <w:t>Avis</w:t>
        </w:r>
      </w:hyperlink>
      <w:r w:rsidRPr="003C17F9">
        <w:rPr>
          <w:rFonts w:ascii="Tenorite" w:hAnsi="Tenorite"/>
          <w:szCs w:val="22"/>
        </w:rPr>
        <w:t xml:space="preserve"> relatif à l'ouverture d'une procédure nationale d'opposition pour la demande de modification du cahier des charges de l'appellation d'origine contrôlée « Mothais sur feuille » (JORF 11/07/2025)</w:t>
      </w:r>
    </w:p>
    <w:p w14:paraId="30CD6E5A" w14:textId="77777777" w:rsidR="003C17F9" w:rsidRPr="003C17F9" w:rsidRDefault="003C17F9" w:rsidP="003C17F9">
      <w:pPr>
        <w:spacing w:after="0" w:line="240" w:lineRule="auto"/>
        <w:ind w:left="142"/>
        <w:jc w:val="both"/>
        <w:rPr>
          <w:rFonts w:ascii="Tenorite" w:eastAsia="Times New Roman" w:hAnsi="Tenorite" w:cs="Times New Roman"/>
          <w:b/>
          <w:bCs/>
          <w:shd w:val="clear" w:color="auto" w:fill="FFFFFF"/>
          <w:lang w:eastAsia="fr-FR"/>
        </w:rPr>
      </w:pPr>
    </w:p>
    <w:p w14:paraId="540F4BDC" w14:textId="77777777" w:rsidR="003C17F9" w:rsidRPr="003C17F9" w:rsidRDefault="003C17F9" w:rsidP="003C17F9">
      <w:pPr>
        <w:spacing w:after="0" w:line="240" w:lineRule="auto"/>
        <w:ind w:left="142"/>
        <w:jc w:val="both"/>
        <w:rPr>
          <w:rFonts w:ascii="Tenorite" w:eastAsia="Times New Roman" w:hAnsi="Tenorite" w:cs="Times New Roman"/>
          <w:lang w:eastAsia="fr-FR"/>
        </w:rPr>
      </w:pPr>
      <w:hyperlink r:id="rId55" w:history="1">
        <w:r w:rsidRPr="003C17F9">
          <w:rPr>
            <w:rFonts w:ascii="Tenorite" w:eastAsia="Times New Roman" w:hAnsi="Tenorite" w:cs="Times New Roman"/>
            <w:b/>
            <w:bCs/>
            <w:u w:val="single"/>
            <w:shd w:val="clear" w:color="auto" w:fill="FFFFFF"/>
            <w:lang w:eastAsia="fr-FR"/>
          </w:rPr>
          <w:t>Cahier des charges</w:t>
        </w:r>
      </w:hyperlink>
      <w:r w:rsidRPr="003C17F9">
        <w:rPr>
          <w:rFonts w:ascii="Tenorite" w:eastAsia="Times New Roman" w:hAnsi="Tenorite" w:cs="Times New Roman"/>
          <w:shd w:val="clear" w:color="auto" w:fill="FFFFFF"/>
          <w:lang w:eastAsia="fr-FR"/>
        </w:rPr>
        <w:t xml:space="preserve"> du 17-07-2025 - </w:t>
      </w:r>
      <w:r w:rsidRPr="003C17F9">
        <w:rPr>
          <w:rFonts w:ascii="Tenorite" w:eastAsia="Times New Roman" w:hAnsi="Tenorite" w:cs="Times New Roman"/>
          <w:lang w:eastAsia="fr-FR"/>
        </w:rPr>
        <w:t>Cahier des charges modifié de l’indication géographique protégée « Brillat-Savarin », homologué par arrêté du 7 juillet 2025 (DGPE)</w:t>
      </w:r>
    </w:p>
    <w:p w14:paraId="69DE169A" w14:textId="77777777" w:rsidR="003C17F9" w:rsidRPr="003C17F9" w:rsidRDefault="003C17F9" w:rsidP="003C17F9">
      <w:pPr>
        <w:spacing w:after="0" w:line="240" w:lineRule="auto"/>
        <w:ind w:left="142"/>
        <w:jc w:val="both"/>
        <w:rPr>
          <w:rFonts w:ascii="Tenorite" w:eastAsia="Times New Roman" w:hAnsi="Tenorite" w:cs="Times New Roman"/>
          <w:lang w:eastAsia="fr-FR"/>
        </w:rPr>
      </w:pPr>
    </w:p>
    <w:p w14:paraId="0816106E" w14:textId="77777777" w:rsidR="003C17F9" w:rsidRPr="003C17F9" w:rsidRDefault="003C17F9" w:rsidP="003C17F9">
      <w:pPr>
        <w:pStyle w:val="Textebrut"/>
        <w:ind w:left="142"/>
        <w:jc w:val="both"/>
        <w:rPr>
          <w:rFonts w:ascii="Tenorite" w:hAnsi="Tenorite"/>
          <w:szCs w:val="22"/>
        </w:rPr>
      </w:pPr>
      <w:hyperlink r:id="rId56" w:history="1">
        <w:r w:rsidRPr="003C17F9">
          <w:rPr>
            <w:rStyle w:val="Lienhypertexte"/>
            <w:rFonts w:ascii="Tenorite" w:hAnsi="Tenorite"/>
            <w:color w:val="auto"/>
            <w:szCs w:val="22"/>
          </w:rPr>
          <w:t>Arrêté</w:t>
        </w:r>
      </w:hyperlink>
      <w:r w:rsidRPr="003C17F9">
        <w:rPr>
          <w:rFonts w:ascii="Tenorite" w:hAnsi="Tenorite"/>
          <w:szCs w:val="22"/>
        </w:rPr>
        <w:t xml:space="preserve"> du 17 juillet 2025 portant homologation du cahier des charges du label rouge n° LA 02/14 « Tartiflette au Reblochon ou Reblochon de Savoie » (JORF 30/07/2025)</w:t>
      </w:r>
    </w:p>
    <w:p w14:paraId="5180F073" w14:textId="77777777" w:rsidR="003C17F9" w:rsidRPr="003C17F9" w:rsidRDefault="003C17F9" w:rsidP="003C17F9">
      <w:pPr>
        <w:spacing w:after="0" w:line="240" w:lineRule="auto"/>
        <w:ind w:left="142"/>
        <w:jc w:val="both"/>
        <w:rPr>
          <w:rFonts w:ascii="Tenorite" w:eastAsia="Times New Roman" w:hAnsi="Tenorite" w:cs="Times New Roman"/>
          <w:b/>
          <w:bCs/>
          <w:lang w:eastAsia="fr-FR"/>
        </w:rPr>
      </w:pPr>
    </w:p>
    <w:p w14:paraId="5A955739" w14:textId="77777777" w:rsidR="003C17F9" w:rsidRPr="003C17F9" w:rsidRDefault="003C17F9" w:rsidP="003C17F9">
      <w:pPr>
        <w:spacing w:after="0" w:line="240" w:lineRule="auto"/>
        <w:ind w:left="142"/>
        <w:jc w:val="both"/>
        <w:rPr>
          <w:rFonts w:ascii="Tenorite" w:eastAsia="Times New Roman" w:hAnsi="Tenorite" w:cs="Times New Roman"/>
          <w:lang w:eastAsia="fr-FR"/>
        </w:rPr>
      </w:pPr>
      <w:hyperlink r:id="rId57" w:history="1">
        <w:r w:rsidRPr="003C17F9">
          <w:rPr>
            <w:rStyle w:val="Lienhypertexte"/>
            <w:rFonts w:ascii="Tenorite" w:eastAsia="Times New Roman" w:hAnsi="Tenorite" w:cs="Times New Roman"/>
            <w:b/>
            <w:bCs/>
            <w:color w:val="auto"/>
            <w:lang w:eastAsia="fr-FR"/>
          </w:rPr>
          <w:t>Cahier des charges</w:t>
        </w:r>
      </w:hyperlink>
      <w:r w:rsidRPr="003C17F9">
        <w:rPr>
          <w:rFonts w:ascii="Tenorite" w:eastAsia="Times New Roman" w:hAnsi="Tenorite" w:cs="Times New Roman"/>
          <w:lang w:eastAsia="fr-FR"/>
        </w:rPr>
        <w:t> du 31-07-2025 - Cahier des charges Label Rouge, le LA 02/14 "Tartiflette au Reblochon ou Reblochon de Savoie" (DGPE)</w:t>
      </w:r>
    </w:p>
    <w:p w14:paraId="2E4011AE" w14:textId="77777777" w:rsidR="003C17F9" w:rsidRPr="003C17F9" w:rsidRDefault="003C17F9" w:rsidP="003C17F9">
      <w:pPr>
        <w:spacing w:after="0" w:line="240" w:lineRule="auto"/>
        <w:ind w:left="142"/>
        <w:jc w:val="both"/>
        <w:rPr>
          <w:rFonts w:ascii="Tenorite" w:eastAsia="Times New Roman" w:hAnsi="Tenorite" w:cs="Times New Roman"/>
          <w:lang w:eastAsia="fr-FR"/>
        </w:rPr>
      </w:pPr>
    </w:p>
    <w:p w14:paraId="6AF3103B" w14:textId="77777777" w:rsidR="003C17F9" w:rsidRPr="003C17F9" w:rsidRDefault="003C17F9" w:rsidP="003C17F9">
      <w:pPr>
        <w:spacing w:after="0" w:line="240" w:lineRule="auto"/>
        <w:ind w:left="142"/>
        <w:jc w:val="both"/>
        <w:rPr>
          <w:rFonts w:ascii="Tenorite" w:eastAsia="Times New Roman" w:hAnsi="Tenorite" w:cs="Times New Roman"/>
          <w:lang w:eastAsia="fr-FR"/>
        </w:rPr>
      </w:pPr>
      <w:hyperlink r:id="rId58" w:history="1">
        <w:r w:rsidRPr="003C17F9">
          <w:rPr>
            <w:rStyle w:val="Lienhypertexte"/>
            <w:rFonts w:ascii="Tenorite" w:eastAsia="Times New Roman" w:hAnsi="Tenorite" w:cs="Times New Roman"/>
            <w:color w:val="auto"/>
            <w:lang w:eastAsia="fr-FR"/>
          </w:rPr>
          <w:t>Avis</w:t>
        </w:r>
      </w:hyperlink>
      <w:r w:rsidRPr="003C17F9">
        <w:rPr>
          <w:rFonts w:ascii="Tenorite" w:eastAsia="Times New Roman" w:hAnsi="Tenorite" w:cs="Times New Roman"/>
          <w:lang w:eastAsia="fr-FR"/>
        </w:rPr>
        <w:t xml:space="preserve"> relatif à l'ouverture d'une procédure nationale d'opposition pour la demande de modification du cahier des charges du label rouge n° LA 04/03 « Raclette ou fromage à raclette » (JORF 23/07/2025)</w:t>
      </w:r>
    </w:p>
    <w:p w14:paraId="54E8E08A" w14:textId="1999BEF6" w:rsidR="00D85BE8" w:rsidRPr="005B4285" w:rsidRDefault="008A1CC0" w:rsidP="005B4285">
      <w:pPr>
        <w:tabs>
          <w:tab w:val="left" w:pos="3750"/>
        </w:tabs>
        <w:ind w:left="426" w:hanging="283"/>
        <w:jc w:val="both"/>
        <w:rPr>
          <w:rFonts w:ascii="Tenorite" w:hAnsi="Tenorite"/>
          <w:color w:val="C45911" w:themeColor="accent2" w:themeShade="BF"/>
          <w:sz w:val="20"/>
          <w:szCs w:val="18"/>
        </w:rPr>
      </w:pPr>
      <w:r w:rsidRPr="005B4285">
        <w:rPr>
          <w:rFonts w:ascii="Tenorite" w:hAnsi="Tenorite"/>
          <w:color w:val="C45911" w:themeColor="accent2" w:themeShade="BF"/>
          <w:sz w:val="20"/>
          <w:szCs w:val="18"/>
        </w:rPr>
        <w:tab/>
      </w:r>
    </w:p>
    <w:p w14:paraId="14F5C586" w14:textId="77777777" w:rsidR="00D025D4" w:rsidRPr="005B4285" w:rsidRDefault="00D025D4" w:rsidP="005B4285">
      <w:pPr>
        <w:shd w:val="clear" w:color="auto" w:fill="D9D9D9" w:themeFill="background1" w:themeFillShade="D9"/>
        <w:spacing w:after="0"/>
        <w:ind w:left="426" w:hanging="283"/>
        <w:jc w:val="both"/>
        <w:rPr>
          <w:rFonts w:ascii="Tenorite" w:hAnsi="Tenorite"/>
          <w:b/>
          <w:color w:val="833C0B" w:themeColor="accent2" w:themeShade="80"/>
          <w:sz w:val="24"/>
          <w:szCs w:val="24"/>
        </w:rPr>
      </w:pPr>
      <w:r w:rsidRPr="005B4285">
        <w:rPr>
          <w:rFonts w:ascii="Tenorite" w:hAnsi="Tenorite"/>
          <w:b/>
          <w:color w:val="833C0B" w:themeColor="accent2" w:themeShade="80"/>
          <w:sz w:val="24"/>
          <w:szCs w:val="24"/>
        </w:rPr>
        <w:t xml:space="preserve">ŒUFS ET OVOPRODUITS </w:t>
      </w:r>
    </w:p>
    <w:p w14:paraId="33A5EDBB" w14:textId="77777777" w:rsidR="003C17F9" w:rsidRPr="00C92711" w:rsidRDefault="00E464D9" w:rsidP="003C17F9">
      <w:pPr>
        <w:spacing w:after="0" w:line="240" w:lineRule="auto"/>
        <w:ind w:left="142"/>
        <w:jc w:val="both"/>
        <w:rPr>
          <w:rFonts w:ascii="Tenorite" w:hAnsi="Tenorite"/>
          <w:color w:val="C45911" w:themeColor="accent2" w:themeShade="BF"/>
          <w:szCs w:val="20"/>
        </w:rPr>
      </w:pPr>
      <w:r w:rsidRPr="00C92711">
        <w:rPr>
          <w:rFonts w:ascii="Tenorite" w:hAnsi="Tenorite"/>
          <w:color w:val="C45911" w:themeColor="accent2" w:themeShade="BF"/>
          <w:szCs w:val="20"/>
        </w:rPr>
        <w:t>Généralités</w:t>
      </w:r>
    </w:p>
    <w:p w14:paraId="302C456E" w14:textId="644484C2" w:rsidR="003C17F9" w:rsidRPr="003C17F9" w:rsidRDefault="003C17F9" w:rsidP="003C17F9">
      <w:pPr>
        <w:spacing w:after="0" w:line="240" w:lineRule="auto"/>
        <w:ind w:left="142"/>
        <w:jc w:val="both"/>
        <w:rPr>
          <w:rFonts w:ascii="Tenorite" w:hAnsi="Tenorite"/>
        </w:rPr>
      </w:pPr>
      <w:hyperlink r:id="rId59" w:tgtFrame="_blank" w:history="1">
        <w:r w:rsidRPr="003C17F9">
          <w:rPr>
            <w:rStyle w:val="Lienhypertexte"/>
            <w:rFonts w:ascii="Tenorite" w:hAnsi="Tenorite"/>
            <w:color w:val="auto"/>
          </w:rPr>
          <w:t>Avis et rapport relatifs à la « modification du plan d’échantillonnage dans les élevages de poules pondeuses » dans le cadre de la surveillance des salmonelles zoonotiques en filière avicole</w:t>
        </w:r>
      </w:hyperlink>
      <w:r w:rsidRPr="003C17F9">
        <w:rPr>
          <w:rFonts w:ascii="Tenorite" w:hAnsi="Tenorite"/>
        </w:rPr>
        <w:t xml:space="preserve"> – avis signé le 05/06/2025</w:t>
      </w:r>
    </w:p>
    <w:p w14:paraId="2D70586A" w14:textId="77777777" w:rsidR="003C17F9" w:rsidRPr="003C17F9" w:rsidRDefault="003C17F9" w:rsidP="003C17F9">
      <w:pPr>
        <w:spacing w:after="0" w:line="240" w:lineRule="auto"/>
        <w:ind w:left="142"/>
        <w:jc w:val="both"/>
        <w:rPr>
          <w:rFonts w:ascii="Tenorite" w:hAnsi="Tenorite"/>
        </w:rPr>
      </w:pPr>
    </w:p>
    <w:p w14:paraId="5CA03061" w14:textId="77777777" w:rsidR="00B33565" w:rsidRDefault="00B33565" w:rsidP="00B33565">
      <w:pPr>
        <w:shd w:val="clear" w:color="auto" w:fill="FFFFFF"/>
        <w:spacing w:after="0" w:line="240" w:lineRule="auto"/>
        <w:ind w:left="142"/>
        <w:jc w:val="both"/>
        <w:rPr>
          <w:rFonts w:ascii="Tenorite" w:hAnsi="Tenorite"/>
          <w:szCs w:val="21"/>
        </w:rPr>
      </w:pPr>
      <w:hyperlink r:id="rId60" w:history="1">
        <w:r w:rsidRPr="005B4285">
          <w:rPr>
            <w:rStyle w:val="Lienhypertexte"/>
            <w:rFonts w:ascii="Tenorite" w:hAnsi="Tenorite"/>
            <w:szCs w:val="21"/>
          </w:rPr>
          <w:t>Règlement</w:t>
        </w:r>
      </w:hyperlink>
      <w:r w:rsidRPr="005B4285">
        <w:rPr>
          <w:rFonts w:ascii="Tenorite" w:hAnsi="Tenorite"/>
          <w:szCs w:val="21"/>
        </w:rPr>
        <w:t xml:space="preserve"> (UE) 2025/1337 de la Commission du 10 juillet 2025 modifiant l’annexe III du règlement (CE) no 1333/2008 du Parlement européen et du Conseil en ce qui concerne l’utilisation de </w:t>
      </w:r>
      <w:proofErr w:type="spellStart"/>
      <w:r w:rsidRPr="005B4285">
        <w:rPr>
          <w:rFonts w:ascii="Tenorite" w:hAnsi="Tenorite"/>
          <w:szCs w:val="21"/>
        </w:rPr>
        <w:t>polyvinylpolypyrrolidone</w:t>
      </w:r>
      <w:proofErr w:type="spellEnd"/>
      <w:r w:rsidRPr="005B4285">
        <w:rPr>
          <w:rFonts w:ascii="Tenorite" w:hAnsi="Tenorite"/>
          <w:szCs w:val="21"/>
        </w:rPr>
        <w:t xml:space="preserve"> (E 1202) en tant que support dans les pastilles de colorant pour la coloration décorative des coquilles des œufs de volailles (JOUE 11/07/2025)</w:t>
      </w:r>
    </w:p>
    <w:p w14:paraId="439F983D" w14:textId="77777777" w:rsidR="00B33565" w:rsidRPr="005B4285" w:rsidRDefault="00B33565" w:rsidP="005B4285">
      <w:pPr>
        <w:ind w:left="426" w:hanging="283"/>
        <w:jc w:val="both"/>
        <w:rPr>
          <w:rFonts w:ascii="Tenorite" w:hAnsi="Tenorite"/>
          <w:color w:val="C45911" w:themeColor="accent2" w:themeShade="BF"/>
          <w:sz w:val="20"/>
          <w:szCs w:val="18"/>
        </w:rPr>
      </w:pPr>
    </w:p>
    <w:p w14:paraId="5C016A20" w14:textId="77777777" w:rsidR="003C17F9" w:rsidRPr="00C92711" w:rsidRDefault="0012180A" w:rsidP="003C17F9">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Signes officiels de qualité</w:t>
      </w:r>
    </w:p>
    <w:p w14:paraId="4398C179" w14:textId="2C192732" w:rsidR="0012180A" w:rsidRDefault="003C17F9" w:rsidP="003C17F9">
      <w:pPr>
        <w:spacing w:after="0" w:line="240" w:lineRule="auto"/>
        <w:ind w:left="142" w:firstLine="1"/>
        <w:jc w:val="both"/>
        <w:rPr>
          <w:rFonts w:ascii="Tenorite" w:hAnsi="Tenorite"/>
        </w:rPr>
      </w:pPr>
      <w:hyperlink r:id="rId61" w:history="1">
        <w:r w:rsidRPr="003C17F9">
          <w:rPr>
            <w:rStyle w:val="Lienhypertexte"/>
            <w:rFonts w:ascii="Tenorite" w:hAnsi="Tenorite"/>
            <w:color w:val="auto"/>
          </w:rPr>
          <w:t>Arrêté</w:t>
        </w:r>
      </w:hyperlink>
      <w:r w:rsidRPr="003C17F9">
        <w:rPr>
          <w:rFonts w:ascii="Tenorite" w:hAnsi="Tenorite"/>
        </w:rPr>
        <w:t xml:space="preserve"> du 17 juillet 2025 relatif à la modification temporaire du cahier des charges du label rouge n° LA 15/00 « Œufs de poules élevées en plein air, en coquille ou liquides » (JORF 25/07/2025)</w:t>
      </w:r>
    </w:p>
    <w:p w14:paraId="0B53F1FB" w14:textId="77777777" w:rsidR="00E464D9" w:rsidRPr="005B4285" w:rsidRDefault="00E464D9" w:rsidP="005B4285">
      <w:pPr>
        <w:ind w:left="426" w:hanging="283"/>
        <w:jc w:val="both"/>
        <w:rPr>
          <w:rFonts w:ascii="Tenorite" w:hAnsi="Tenorite"/>
          <w:color w:val="C45911" w:themeColor="accent2" w:themeShade="BF"/>
          <w:sz w:val="20"/>
          <w:szCs w:val="18"/>
        </w:rPr>
      </w:pPr>
    </w:p>
    <w:p w14:paraId="5B9F02A9" w14:textId="77777777" w:rsidR="00D025D4" w:rsidRPr="005B4285" w:rsidRDefault="00D025D4" w:rsidP="005B4285">
      <w:pPr>
        <w:shd w:val="clear" w:color="auto" w:fill="D9D9D9" w:themeFill="background1" w:themeFillShade="D9"/>
        <w:spacing w:after="0"/>
        <w:ind w:left="426" w:hanging="283"/>
        <w:jc w:val="both"/>
        <w:rPr>
          <w:rFonts w:ascii="Tenorite" w:hAnsi="Tenorite"/>
          <w:b/>
          <w:color w:val="833C0B" w:themeColor="accent2" w:themeShade="80"/>
          <w:sz w:val="24"/>
          <w:szCs w:val="24"/>
        </w:rPr>
      </w:pPr>
      <w:r w:rsidRPr="005B4285">
        <w:rPr>
          <w:rFonts w:ascii="Tenorite" w:hAnsi="Tenorite"/>
          <w:b/>
          <w:color w:val="833C0B" w:themeColor="accent2" w:themeShade="80"/>
          <w:sz w:val="24"/>
          <w:szCs w:val="24"/>
        </w:rPr>
        <w:t xml:space="preserve">PRODUITS SUCRES </w:t>
      </w:r>
    </w:p>
    <w:p w14:paraId="7E35E821" w14:textId="0C46BE08" w:rsidR="00D025D4" w:rsidRPr="00C92711" w:rsidRDefault="00D025D4" w:rsidP="00406AC5">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Cacao et chocolat</w:t>
      </w:r>
      <w:r w:rsidR="00406AC5" w:rsidRPr="00C92711">
        <w:rPr>
          <w:rFonts w:ascii="Tenorite" w:hAnsi="Tenorite"/>
          <w:color w:val="C45911" w:themeColor="accent2" w:themeShade="BF"/>
          <w:szCs w:val="20"/>
        </w:rPr>
        <w:t xml:space="preserve"> /</w:t>
      </w:r>
    </w:p>
    <w:p w14:paraId="16EF5DD3" w14:textId="2B9AD481" w:rsidR="00D025D4" w:rsidRPr="00C92711" w:rsidRDefault="00D025D4" w:rsidP="00406AC5">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Confitures et compotes</w:t>
      </w:r>
      <w:r w:rsidR="00406AC5" w:rsidRPr="00C92711">
        <w:rPr>
          <w:rFonts w:ascii="Tenorite" w:hAnsi="Tenorite"/>
          <w:color w:val="C45911" w:themeColor="accent2" w:themeShade="BF"/>
          <w:szCs w:val="20"/>
        </w:rPr>
        <w:t xml:space="preserve"> /</w:t>
      </w:r>
    </w:p>
    <w:p w14:paraId="2BF906C4" w14:textId="43E5F588" w:rsidR="00D025D4" w:rsidRPr="00C92711" w:rsidRDefault="00D025D4" w:rsidP="00406AC5">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Sucres</w:t>
      </w:r>
      <w:r w:rsidR="00406AC5" w:rsidRPr="00C92711">
        <w:rPr>
          <w:rFonts w:ascii="Tenorite" w:hAnsi="Tenorite"/>
          <w:color w:val="C45911" w:themeColor="accent2" w:themeShade="BF"/>
          <w:szCs w:val="20"/>
        </w:rPr>
        <w:t xml:space="preserve"> /</w:t>
      </w:r>
    </w:p>
    <w:p w14:paraId="46F6FBEF" w14:textId="77777777" w:rsidR="00406AC5" w:rsidRPr="00C92711" w:rsidRDefault="00406AC5" w:rsidP="00406AC5">
      <w:pPr>
        <w:spacing w:after="0" w:line="240" w:lineRule="auto"/>
        <w:ind w:left="426" w:hanging="283"/>
        <w:jc w:val="both"/>
        <w:rPr>
          <w:rFonts w:ascii="Tenorite" w:hAnsi="Tenorite"/>
          <w:color w:val="C45911" w:themeColor="accent2" w:themeShade="BF"/>
          <w:szCs w:val="20"/>
        </w:rPr>
      </w:pPr>
    </w:p>
    <w:p w14:paraId="12B01DA5" w14:textId="77777777" w:rsidR="00D025D4" w:rsidRPr="005B4285" w:rsidRDefault="00D025D4" w:rsidP="005B4285">
      <w:pPr>
        <w:shd w:val="clear" w:color="auto" w:fill="D9D9D9" w:themeFill="background1" w:themeFillShade="D9"/>
        <w:spacing w:after="0"/>
        <w:ind w:left="426" w:hanging="283"/>
        <w:jc w:val="both"/>
        <w:rPr>
          <w:rFonts w:ascii="Tenorite" w:hAnsi="Tenorite"/>
          <w:b/>
          <w:color w:val="833C0B" w:themeColor="accent2" w:themeShade="80"/>
          <w:sz w:val="24"/>
          <w:szCs w:val="24"/>
        </w:rPr>
      </w:pPr>
      <w:r w:rsidRPr="005B4285">
        <w:rPr>
          <w:rFonts w:ascii="Tenorite" w:hAnsi="Tenorite"/>
          <w:b/>
          <w:color w:val="833C0B" w:themeColor="accent2" w:themeShade="80"/>
          <w:sz w:val="24"/>
          <w:szCs w:val="24"/>
        </w:rPr>
        <w:t xml:space="preserve">VIANDES ET PRODUITS À BASE DE VIANDE </w:t>
      </w:r>
    </w:p>
    <w:p w14:paraId="383B8EEF" w14:textId="06BFD493" w:rsidR="00406AC5" w:rsidRPr="00E1364C" w:rsidRDefault="008A1CC0" w:rsidP="00406AC5">
      <w:pPr>
        <w:shd w:val="clear" w:color="auto" w:fill="FFFFFF"/>
        <w:spacing w:after="0" w:line="240" w:lineRule="auto"/>
        <w:ind w:left="142"/>
        <w:jc w:val="both"/>
        <w:rPr>
          <w:rFonts w:ascii="Tenorite" w:eastAsia="Times New Roman" w:hAnsi="Tenorite" w:cs="Times New Roman"/>
          <w:lang w:eastAsia="fr-FR"/>
        </w:rPr>
      </w:pPr>
      <w:r w:rsidRPr="00E1364C">
        <w:rPr>
          <w:rFonts w:ascii="Tenorite" w:eastAsia="Times New Roman" w:hAnsi="Tenorite" w:cs="Times New Roman"/>
          <w:b/>
          <w:bCs/>
          <w:lang w:eastAsia="fr-FR"/>
        </w:rPr>
        <w:t>Instruction technique </w:t>
      </w:r>
      <w:hyperlink r:id="rId62" w:history="1">
        <w:r w:rsidRPr="00E1364C">
          <w:rPr>
            <w:rFonts w:ascii="Tenorite" w:eastAsia="Times New Roman" w:hAnsi="Tenorite" w:cs="Times New Roman"/>
            <w:u w:val="single"/>
            <w:lang w:eastAsia="fr-FR"/>
          </w:rPr>
          <w:t>DGAL/SDSBEA/2025-467</w:t>
        </w:r>
      </w:hyperlink>
      <w:r w:rsidRPr="00E1364C">
        <w:rPr>
          <w:rFonts w:ascii="Tenorite" w:eastAsia="Times New Roman" w:hAnsi="Tenorite" w:cs="Times New Roman"/>
          <w:lang w:eastAsia="fr-FR"/>
        </w:rPr>
        <w:t> du 17-07-2025 - Actualisation du fonctionnement des cellules opérationnelles dans chaque département pour mieux prévenir (animaux de rente) et lutter (animaux de rente et de compagnie) contre la maltraitance animale. (DGAL)</w:t>
      </w:r>
    </w:p>
    <w:p w14:paraId="56A16868" w14:textId="77777777" w:rsidR="008A1CC0" w:rsidRPr="00E1364C" w:rsidRDefault="008A1CC0" w:rsidP="00406AC5">
      <w:pPr>
        <w:pStyle w:val="Textebrut"/>
        <w:ind w:left="142"/>
        <w:jc w:val="both"/>
        <w:rPr>
          <w:rFonts w:ascii="Tenorite" w:hAnsi="Tenorite"/>
          <w:szCs w:val="22"/>
        </w:rPr>
      </w:pPr>
    </w:p>
    <w:p w14:paraId="00180092" w14:textId="0F0963B0" w:rsidR="0064168D" w:rsidRPr="00C92711" w:rsidRDefault="0064168D" w:rsidP="0064168D">
      <w:pPr>
        <w:spacing w:after="0" w:line="240" w:lineRule="auto"/>
        <w:ind w:left="142"/>
        <w:jc w:val="both"/>
        <w:rPr>
          <w:rFonts w:ascii="Tenorite" w:hAnsi="Tenorite"/>
          <w:sz w:val="24"/>
          <w:szCs w:val="24"/>
        </w:rPr>
      </w:pPr>
      <w:r w:rsidRPr="00C92711">
        <w:rPr>
          <w:rFonts w:ascii="Tenorite" w:hAnsi="Tenorite"/>
          <w:bCs/>
          <w:color w:val="C45911" w:themeColor="accent2" w:themeShade="BF"/>
          <w:szCs w:val="20"/>
        </w:rPr>
        <w:t>Aides</w:t>
      </w:r>
    </w:p>
    <w:p w14:paraId="225F1370" w14:textId="0B20B04C" w:rsidR="0064168D" w:rsidRPr="00406AC5" w:rsidRDefault="0064168D" w:rsidP="0064168D">
      <w:pPr>
        <w:spacing w:after="0" w:line="240" w:lineRule="auto"/>
        <w:ind w:left="142"/>
        <w:jc w:val="both"/>
        <w:rPr>
          <w:rFonts w:ascii="Tenorite" w:hAnsi="Tenorite"/>
        </w:rPr>
      </w:pPr>
      <w:hyperlink r:id="rId63" w:history="1">
        <w:r w:rsidRPr="00406AC5">
          <w:rPr>
            <w:rStyle w:val="Lienhypertexte"/>
            <w:rFonts w:ascii="Tenorite" w:hAnsi="Tenorite"/>
            <w:color w:val="auto"/>
          </w:rPr>
          <w:t>Arrêté</w:t>
        </w:r>
      </w:hyperlink>
      <w:r w:rsidRPr="00406AC5">
        <w:rPr>
          <w:rFonts w:ascii="Tenorite" w:hAnsi="Tenorite"/>
        </w:rPr>
        <w:t xml:space="preserve"> du 13 août 2025 modifiant l'arrêté du 16 juillet 2025 fixant les mesures financières relatives à la dermatose nodulaire contagieuse (JORF 14/08/2025)</w:t>
      </w:r>
    </w:p>
    <w:p w14:paraId="68479A70" w14:textId="77777777" w:rsidR="0064168D" w:rsidRDefault="0064168D" w:rsidP="0064168D">
      <w:pPr>
        <w:pStyle w:val="Titre3"/>
        <w:spacing w:before="0" w:beforeAutospacing="0" w:after="0" w:afterAutospacing="0"/>
        <w:ind w:left="142"/>
        <w:jc w:val="both"/>
        <w:rPr>
          <w:rFonts w:ascii="Tenorite" w:hAnsi="Tenorite"/>
          <w:color w:val="C45911" w:themeColor="accent2" w:themeShade="BF"/>
          <w:sz w:val="20"/>
          <w:szCs w:val="18"/>
        </w:rPr>
      </w:pPr>
    </w:p>
    <w:p w14:paraId="1FEAE392" w14:textId="1CD6FDF9" w:rsidR="00D025D4" w:rsidRPr="00C92711" w:rsidRDefault="00D025D4" w:rsidP="00406AC5">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Maladies</w:t>
      </w:r>
    </w:p>
    <w:p w14:paraId="1D858277" w14:textId="77777777" w:rsidR="008A1CC0" w:rsidRDefault="008A1CC0" w:rsidP="0064168D">
      <w:pPr>
        <w:shd w:val="clear" w:color="auto" w:fill="FFFFFF"/>
        <w:spacing w:after="0" w:line="240" w:lineRule="auto"/>
        <w:ind w:left="143"/>
        <w:jc w:val="both"/>
        <w:rPr>
          <w:rFonts w:ascii="Tenorite" w:eastAsia="Times New Roman" w:hAnsi="Tenorite" w:cs="Times New Roman"/>
          <w:lang w:eastAsia="fr-FR"/>
        </w:rPr>
      </w:pPr>
      <w:r w:rsidRPr="00406AC5">
        <w:rPr>
          <w:rFonts w:ascii="Tenorite" w:eastAsia="Times New Roman" w:hAnsi="Tenorite" w:cs="Times New Roman"/>
          <w:b/>
          <w:bCs/>
          <w:lang w:eastAsia="fr-FR"/>
        </w:rPr>
        <w:t>Instruction technique </w:t>
      </w:r>
      <w:hyperlink r:id="rId64" w:history="1">
        <w:r w:rsidRPr="00406AC5">
          <w:rPr>
            <w:rFonts w:ascii="Tenorite" w:eastAsia="Times New Roman" w:hAnsi="Tenorite" w:cs="Times New Roman"/>
            <w:u w:val="single"/>
            <w:lang w:eastAsia="fr-FR"/>
          </w:rPr>
          <w:t>DGAL/SDSBEA/2025-457</w:t>
        </w:r>
      </w:hyperlink>
      <w:r w:rsidRPr="00406AC5">
        <w:rPr>
          <w:rFonts w:ascii="Tenorite" w:eastAsia="Times New Roman" w:hAnsi="Tenorite" w:cs="Times New Roman"/>
          <w:lang w:eastAsia="fr-FR"/>
        </w:rPr>
        <w:t> du 17-07-2025 - Prophylaxies bovine – Publication du cahier des charges relatif aux modalités d’application de la réglementation sur les prophylaxies de la brucellose, la tuberculose et la leucose. (DGAL)</w:t>
      </w:r>
    </w:p>
    <w:p w14:paraId="366D30B7" w14:textId="77777777" w:rsidR="00406AC5" w:rsidRPr="00406AC5" w:rsidRDefault="00406AC5" w:rsidP="0064168D">
      <w:pPr>
        <w:shd w:val="clear" w:color="auto" w:fill="FFFFFF"/>
        <w:spacing w:after="0" w:line="240" w:lineRule="auto"/>
        <w:ind w:left="143"/>
        <w:jc w:val="both"/>
        <w:rPr>
          <w:rFonts w:ascii="Tenorite" w:eastAsia="Times New Roman" w:hAnsi="Tenorite" w:cs="Times New Roman"/>
          <w:lang w:eastAsia="fr-FR"/>
        </w:rPr>
      </w:pPr>
    </w:p>
    <w:p w14:paraId="1BB6748D" w14:textId="61C2DC8A" w:rsidR="00406AC5" w:rsidRPr="00406AC5" w:rsidRDefault="008A1CC0" w:rsidP="0064168D">
      <w:pPr>
        <w:shd w:val="clear" w:color="auto" w:fill="FFFFFF"/>
        <w:spacing w:after="0" w:line="240" w:lineRule="auto"/>
        <w:ind w:left="143"/>
        <w:jc w:val="both"/>
        <w:rPr>
          <w:rFonts w:ascii="Tenorite" w:eastAsia="Times New Roman" w:hAnsi="Tenorite" w:cs="Times New Roman"/>
          <w:lang w:eastAsia="fr-FR"/>
        </w:rPr>
      </w:pPr>
      <w:r w:rsidRPr="00406AC5">
        <w:rPr>
          <w:rFonts w:ascii="Tenorite" w:eastAsia="Times New Roman" w:hAnsi="Tenorite" w:cs="Times New Roman"/>
          <w:b/>
          <w:bCs/>
          <w:lang w:eastAsia="fr-FR"/>
        </w:rPr>
        <w:t>Instruction technique </w:t>
      </w:r>
      <w:hyperlink r:id="rId65" w:history="1">
        <w:r w:rsidRPr="00406AC5">
          <w:rPr>
            <w:rFonts w:ascii="Tenorite" w:eastAsia="Times New Roman" w:hAnsi="Tenorite" w:cs="Times New Roman"/>
            <w:u w:val="single"/>
            <w:lang w:eastAsia="fr-FR"/>
          </w:rPr>
          <w:t>DGAL/SDSBEA/2025-475</w:t>
        </w:r>
      </w:hyperlink>
      <w:r w:rsidRPr="00406AC5">
        <w:rPr>
          <w:rFonts w:ascii="Tenorite" w:eastAsia="Times New Roman" w:hAnsi="Tenorite" w:cs="Times New Roman"/>
          <w:lang w:eastAsia="fr-FR"/>
        </w:rPr>
        <w:t> du 18-07-2025 - Surveillance événementielle de la maladie hémorragique épizootique (MHE) en élevages et dispositions relatives aux mouvements d’animaux sur le territoire national et aux échanges au sein de l’UE. (DGAL)</w:t>
      </w:r>
    </w:p>
    <w:p w14:paraId="39898E1E" w14:textId="77777777" w:rsidR="00406AC5" w:rsidRPr="00406AC5" w:rsidRDefault="00406AC5" w:rsidP="0064168D">
      <w:pPr>
        <w:shd w:val="clear" w:color="auto" w:fill="FFFFFF"/>
        <w:spacing w:after="0" w:line="240" w:lineRule="auto"/>
        <w:ind w:left="143"/>
        <w:jc w:val="both"/>
        <w:rPr>
          <w:rFonts w:ascii="Tenorite" w:eastAsia="Times New Roman" w:hAnsi="Tenorite" w:cs="Times New Roman"/>
          <w:lang w:eastAsia="fr-FR"/>
        </w:rPr>
      </w:pPr>
    </w:p>
    <w:p w14:paraId="735106E8" w14:textId="77777777" w:rsidR="008A1CC0" w:rsidRDefault="008A1CC0" w:rsidP="0064168D">
      <w:pPr>
        <w:shd w:val="clear" w:color="auto" w:fill="FFFFFF"/>
        <w:spacing w:after="0" w:line="240" w:lineRule="auto"/>
        <w:ind w:left="143"/>
        <w:jc w:val="both"/>
        <w:rPr>
          <w:rFonts w:ascii="Tenorite" w:eastAsia="Times New Roman" w:hAnsi="Tenorite" w:cs="Times New Roman"/>
          <w:lang w:eastAsia="fr-FR"/>
        </w:rPr>
      </w:pPr>
      <w:hyperlink r:id="rId66" w:history="1">
        <w:r w:rsidRPr="00406AC5">
          <w:rPr>
            <w:rStyle w:val="Lienhypertexte"/>
            <w:rFonts w:ascii="Tenorite" w:eastAsia="Times New Roman" w:hAnsi="Tenorite" w:cs="Times New Roman"/>
            <w:color w:val="auto"/>
            <w:lang w:eastAsia="fr-FR"/>
          </w:rPr>
          <w:t>Décision</w:t>
        </w:r>
      </w:hyperlink>
      <w:r w:rsidRPr="00406AC5">
        <w:rPr>
          <w:rFonts w:ascii="Tenorite" w:eastAsia="Times New Roman" w:hAnsi="Tenorite" w:cs="Times New Roman"/>
          <w:lang w:eastAsia="fr-FR"/>
        </w:rPr>
        <w:t xml:space="preserve"> d’exécution (UE) 2025/1318 de la Commission du 27 juin 2025 concernant certaines mesures d’urgence provisoires relatives à l’infection par le virus de la dermatose nodulaire contagieuse en Italie (JOUE 01/07/2025)</w:t>
      </w:r>
    </w:p>
    <w:p w14:paraId="2CAAE4E2" w14:textId="77777777" w:rsidR="00406AC5" w:rsidRPr="00406AC5" w:rsidRDefault="00406AC5" w:rsidP="0064168D">
      <w:pPr>
        <w:shd w:val="clear" w:color="auto" w:fill="FFFFFF"/>
        <w:spacing w:after="0" w:line="240" w:lineRule="auto"/>
        <w:ind w:left="143"/>
        <w:jc w:val="both"/>
        <w:rPr>
          <w:rFonts w:ascii="Tenorite" w:eastAsia="Times New Roman" w:hAnsi="Tenorite" w:cs="Times New Roman"/>
          <w:lang w:eastAsia="fr-FR"/>
        </w:rPr>
      </w:pPr>
    </w:p>
    <w:p w14:paraId="0682E107" w14:textId="77777777" w:rsidR="008A1CC0" w:rsidRPr="00406AC5" w:rsidRDefault="008A1CC0" w:rsidP="0064168D">
      <w:pPr>
        <w:shd w:val="clear" w:color="auto" w:fill="FFFFFF"/>
        <w:spacing w:after="0" w:line="240" w:lineRule="auto"/>
        <w:ind w:left="143"/>
        <w:jc w:val="both"/>
        <w:rPr>
          <w:rFonts w:ascii="Tenorite" w:eastAsia="Times New Roman" w:hAnsi="Tenorite" w:cs="Times New Roman"/>
          <w:lang w:eastAsia="fr-FR"/>
        </w:rPr>
      </w:pPr>
      <w:hyperlink r:id="rId67" w:history="1">
        <w:r w:rsidRPr="00406AC5">
          <w:rPr>
            <w:rStyle w:val="Lienhypertexte"/>
            <w:rFonts w:ascii="Tenorite" w:eastAsia="Times New Roman" w:hAnsi="Tenorite" w:cs="Times New Roman"/>
            <w:color w:val="auto"/>
            <w:lang w:eastAsia="fr-FR"/>
          </w:rPr>
          <w:t>Décision</w:t>
        </w:r>
      </w:hyperlink>
      <w:r w:rsidRPr="00406AC5">
        <w:rPr>
          <w:rFonts w:ascii="Tenorite" w:eastAsia="Times New Roman" w:hAnsi="Tenorite" w:cs="Times New Roman"/>
          <w:lang w:eastAsia="fr-FR"/>
        </w:rPr>
        <w:t xml:space="preserve"> d’exécution (UE) 2025/1336 de la Commission du 3 juillet 2025 concernant certaines mesures d’urgence provisoires relatives à l’infection par le virus de la dermatose nodulaire contagieuse en France (JOUE 04/07/2025)</w:t>
      </w:r>
    </w:p>
    <w:p w14:paraId="65FF8F00" w14:textId="77777777" w:rsidR="008A1CC0" w:rsidRPr="00406AC5" w:rsidRDefault="008A1CC0" w:rsidP="0064168D">
      <w:pPr>
        <w:shd w:val="clear" w:color="auto" w:fill="FFFFFF"/>
        <w:spacing w:after="0" w:line="240" w:lineRule="auto"/>
        <w:ind w:left="143"/>
        <w:jc w:val="both"/>
        <w:rPr>
          <w:rFonts w:ascii="Tenorite" w:eastAsia="Times New Roman" w:hAnsi="Tenorite" w:cs="Times New Roman"/>
          <w:lang w:eastAsia="fr-FR"/>
        </w:rPr>
      </w:pPr>
    </w:p>
    <w:p w14:paraId="4C80C55C" w14:textId="77777777" w:rsidR="008A1CC0" w:rsidRDefault="008A1CC0" w:rsidP="0064168D">
      <w:pPr>
        <w:shd w:val="clear" w:color="auto" w:fill="FFFFFF"/>
        <w:spacing w:after="0" w:line="240" w:lineRule="auto"/>
        <w:ind w:left="143"/>
        <w:jc w:val="both"/>
        <w:rPr>
          <w:rFonts w:ascii="Tenorite" w:eastAsia="Times New Roman" w:hAnsi="Tenorite" w:cs="Times New Roman"/>
          <w:lang w:eastAsia="fr-FR"/>
        </w:rPr>
      </w:pPr>
      <w:hyperlink r:id="rId68" w:history="1">
        <w:r w:rsidRPr="00406AC5">
          <w:rPr>
            <w:rStyle w:val="Lienhypertexte"/>
            <w:rFonts w:ascii="Tenorite" w:eastAsia="Times New Roman" w:hAnsi="Tenorite" w:cs="Times New Roman"/>
            <w:color w:val="auto"/>
            <w:lang w:eastAsia="fr-FR"/>
          </w:rPr>
          <w:t>Règlement</w:t>
        </w:r>
      </w:hyperlink>
      <w:r w:rsidRPr="00406AC5">
        <w:rPr>
          <w:rFonts w:ascii="Tenorite" w:eastAsia="Times New Roman" w:hAnsi="Tenorite" w:cs="Times New Roman"/>
          <w:lang w:eastAsia="fr-FR"/>
        </w:rPr>
        <w:t xml:space="preserve"> d’exécution (UE) 2025/1401 de la Commission du 14 juillet 2025 modifiant les annexes I, VIII, XI, XV, XVI et XVII du règlement d’exécution (UE) 2021/620 en ce qui concerne l’approbation ou le retrait du statut indemne de maladie de certains États membres ou de zones ou compartiments de ceux-ci au regard de certaines maladies répertoriées et l’approbation des programmes d’éradication de certaines maladies répertoriées (JOUE 15/07/2025)</w:t>
      </w:r>
    </w:p>
    <w:p w14:paraId="7ED21D1D" w14:textId="77777777" w:rsidR="00406AC5" w:rsidRPr="00406AC5" w:rsidRDefault="00406AC5" w:rsidP="0064168D">
      <w:pPr>
        <w:shd w:val="clear" w:color="auto" w:fill="FFFFFF"/>
        <w:spacing w:after="0" w:line="240" w:lineRule="auto"/>
        <w:ind w:left="143"/>
        <w:jc w:val="both"/>
        <w:rPr>
          <w:rFonts w:ascii="Tenorite" w:eastAsia="Times New Roman" w:hAnsi="Tenorite" w:cs="Times New Roman"/>
          <w:lang w:eastAsia="fr-FR"/>
        </w:rPr>
      </w:pPr>
    </w:p>
    <w:bookmarkStart w:id="1" w:name="_Hlk207227211"/>
    <w:p w14:paraId="50358372" w14:textId="3F3F841D" w:rsidR="00121619" w:rsidRPr="00406AC5" w:rsidRDefault="00121619" w:rsidP="0064168D">
      <w:pPr>
        <w:spacing w:after="0" w:line="240" w:lineRule="auto"/>
        <w:ind w:left="143"/>
        <w:jc w:val="both"/>
        <w:rPr>
          <w:rFonts w:ascii="Tenorite" w:hAnsi="Tenorite"/>
        </w:rPr>
      </w:pPr>
      <w:r w:rsidRPr="00406AC5">
        <w:rPr>
          <w:rFonts w:ascii="Tenorite" w:hAnsi="Tenorite"/>
          <w:i/>
        </w:rPr>
        <w:fldChar w:fldCharType="begin"/>
      </w:r>
      <w:r w:rsidRPr="00406AC5">
        <w:rPr>
          <w:rFonts w:ascii="Tenorite" w:hAnsi="Tenorite"/>
        </w:rPr>
        <w:instrText>HYPERLINK "https://www.anses.fr/sites/default/files/SABA2019-SA-0115-RA.pdf" \t "_blank"</w:instrText>
      </w:r>
      <w:r w:rsidRPr="00406AC5">
        <w:rPr>
          <w:rFonts w:ascii="Tenorite" w:hAnsi="Tenorite"/>
          <w:i/>
        </w:rPr>
      </w:r>
      <w:r w:rsidRPr="00406AC5">
        <w:rPr>
          <w:rFonts w:ascii="Tenorite" w:hAnsi="Tenorite"/>
          <w:i/>
        </w:rPr>
        <w:fldChar w:fldCharType="separate"/>
      </w:r>
      <w:r w:rsidRPr="00406AC5">
        <w:rPr>
          <w:rStyle w:val="Lienhypertexte"/>
          <w:rFonts w:ascii="Tenorite" w:hAnsi="Tenorite"/>
          <w:iCs/>
          <w:color w:val="auto"/>
        </w:rPr>
        <w:t>Avis et rapport relatifs à l’évaluation des risques et aux mesures de gestion de cas de botulisme dans la faune sauvage</w:t>
      </w:r>
      <w:r w:rsidRPr="00406AC5">
        <w:rPr>
          <w:rFonts w:ascii="Tenorite" w:hAnsi="Tenorite"/>
          <w:i/>
        </w:rPr>
        <w:fldChar w:fldCharType="end"/>
      </w:r>
      <w:r w:rsidRPr="00406AC5">
        <w:rPr>
          <w:rFonts w:ascii="Tenorite" w:hAnsi="Tenorite"/>
        </w:rPr>
        <w:t>-avis signé le 10/06/2025</w:t>
      </w:r>
    </w:p>
    <w:bookmarkEnd w:id="1"/>
    <w:p w14:paraId="141E55EA" w14:textId="77777777" w:rsidR="00121619" w:rsidRPr="00406AC5" w:rsidRDefault="00121619" w:rsidP="0064168D">
      <w:pPr>
        <w:spacing w:after="0" w:line="240" w:lineRule="auto"/>
        <w:ind w:left="143"/>
        <w:jc w:val="both"/>
        <w:rPr>
          <w:rFonts w:ascii="Tenorite" w:eastAsia="Times New Roman" w:hAnsi="Tenorite"/>
          <w:lang w:eastAsia="fr-FR"/>
        </w:rPr>
      </w:pPr>
    </w:p>
    <w:p w14:paraId="3DEF4F3D" w14:textId="77777777" w:rsidR="00121619" w:rsidRPr="00406AC5" w:rsidRDefault="00121619" w:rsidP="0064168D">
      <w:pPr>
        <w:spacing w:after="0" w:line="240" w:lineRule="auto"/>
        <w:ind w:left="143"/>
        <w:jc w:val="both"/>
        <w:rPr>
          <w:rFonts w:ascii="Tenorite" w:hAnsi="Tenorite"/>
        </w:rPr>
      </w:pPr>
      <w:hyperlink r:id="rId69" w:history="1">
        <w:r w:rsidRPr="00406AC5">
          <w:rPr>
            <w:rStyle w:val="Lienhypertexte"/>
            <w:rFonts w:ascii="Tenorite" w:hAnsi="Tenorite"/>
            <w:color w:val="auto"/>
          </w:rPr>
          <w:t>Arrêté</w:t>
        </w:r>
      </w:hyperlink>
      <w:r w:rsidRPr="00406AC5">
        <w:rPr>
          <w:rFonts w:ascii="Tenorite" w:hAnsi="Tenorite"/>
        </w:rPr>
        <w:t xml:space="preserve"> du 28 août 2025 modifiant l'arrêté du 16 juillet 2025 fixant les mesures de surveillance, de prévention et de lutte relatives à la lutte contre la dermatose nodulaire contagieuse sur le territoire métropolitain (JORF 30/08/2025)</w:t>
      </w:r>
    </w:p>
    <w:p w14:paraId="20BFB87F" w14:textId="77777777" w:rsidR="00121619" w:rsidRPr="00406AC5" w:rsidRDefault="00121619" w:rsidP="0064168D">
      <w:pPr>
        <w:spacing w:after="0" w:line="240" w:lineRule="auto"/>
        <w:ind w:left="143"/>
        <w:jc w:val="both"/>
        <w:rPr>
          <w:rFonts w:ascii="Tenorite" w:hAnsi="Tenorite"/>
        </w:rPr>
      </w:pPr>
    </w:p>
    <w:p w14:paraId="761591BC" w14:textId="77777777" w:rsidR="00121619" w:rsidRPr="00406AC5" w:rsidRDefault="00121619" w:rsidP="0064168D">
      <w:pPr>
        <w:spacing w:after="0" w:line="240" w:lineRule="auto"/>
        <w:ind w:left="143"/>
        <w:jc w:val="both"/>
        <w:rPr>
          <w:rFonts w:ascii="Tenorite" w:hAnsi="Tenorite"/>
        </w:rPr>
      </w:pPr>
      <w:hyperlink r:id="rId70" w:history="1">
        <w:r w:rsidRPr="00406AC5">
          <w:rPr>
            <w:rStyle w:val="Lienhypertexte"/>
            <w:rFonts w:ascii="Tenorite" w:hAnsi="Tenorite"/>
            <w:color w:val="auto"/>
          </w:rPr>
          <w:t>Décision</w:t>
        </w:r>
      </w:hyperlink>
      <w:r w:rsidRPr="00406AC5">
        <w:rPr>
          <w:rFonts w:ascii="Tenorite" w:hAnsi="Tenorite"/>
        </w:rPr>
        <w:t xml:space="preserve"> d’exécution (UE) 2025/1582 de la Commission du 29 juillet 2025 concernant certaines mesures d’urgence relatives à l’infection par le virus de la dermatose nodulaire contagieuse en Italie et abrogeant la décision d’exécution (UE) 2025/1318 (JOUE 01/08/2025)</w:t>
      </w:r>
    </w:p>
    <w:p w14:paraId="3484E2F1" w14:textId="77777777" w:rsidR="00121619" w:rsidRPr="00406AC5" w:rsidRDefault="00121619" w:rsidP="0064168D">
      <w:pPr>
        <w:spacing w:after="0" w:line="240" w:lineRule="auto"/>
        <w:ind w:left="143"/>
        <w:jc w:val="both"/>
        <w:rPr>
          <w:rFonts w:ascii="Tenorite" w:hAnsi="Tenorite"/>
        </w:rPr>
      </w:pPr>
    </w:p>
    <w:p w14:paraId="3408B99A" w14:textId="77777777" w:rsidR="00121619" w:rsidRPr="00406AC5" w:rsidRDefault="00121619" w:rsidP="0064168D">
      <w:pPr>
        <w:spacing w:after="0" w:line="240" w:lineRule="auto"/>
        <w:ind w:left="143"/>
        <w:jc w:val="both"/>
        <w:rPr>
          <w:rFonts w:ascii="Tenorite" w:hAnsi="Tenorite"/>
        </w:rPr>
      </w:pPr>
      <w:hyperlink r:id="rId71" w:history="1">
        <w:r w:rsidRPr="00406AC5">
          <w:rPr>
            <w:rStyle w:val="Lienhypertexte"/>
            <w:rFonts w:ascii="Tenorite" w:hAnsi="Tenorite"/>
            <w:color w:val="auto"/>
          </w:rPr>
          <w:t>Décision</w:t>
        </w:r>
      </w:hyperlink>
      <w:r w:rsidRPr="00406AC5">
        <w:rPr>
          <w:rFonts w:ascii="Tenorite" w:hAnsi="Tenorite"/>
        </w:rPr>
        <w:t xml:space="preserve"> d’exécution (UE) 2025/1708 de la Commission du 29 juillet 2025 concernant certaines mesures d’urgence relatives à l’infection par le virus de la dermatose nodulaire contagieuse en France et abrogeant la décision d’exécution (UE) 2025/1336 (JOUE 05/08/2025)</w:t>
      </w:r>
    </w:p>
    <w:p w14:paraId="6D8FA35A" w14:textId="77777777" w:rsidR="00121619" w:rsidRPr="00406AC5" w:rsidRDefault="00121619" w:rsidP="00E1364C">
      <w:pPr>
        <w:spacing w:after="0" w:line="240" w:lineRule="auto"/>
        <w:ind w:left="143"/>
        <w:jc w:val="both"/>
        <w:rPr>
          <w:rFonts w:ascii="Tenorite" w:hAnsi="Tenorite"/>
        </w:rPr>
      </w:pPr>
    </w:p>
    <w:p w14:paraId="2D9F159D" w14:textId="77777777" w:rsidR="00121619" w:rsidRPr="00406AC5" w:rsidRDefault="00121619" w:rsidP="00E1364C">
      <w:pPr>
        <w:spacing w:after="0" w:line="240" w:lineRule="auto"/>
        <w:ind w:left="143"/>
        <w:jc w:val="both"/>
        <w:rPr>
          <w:rFonts w:ascii="Tenorite" w:hAnsi="Tenorite"/>
        </w:rPr>
      </w:pPr>
      <w:hyperlink r:id="rId72" w:history="1">
        <w:r w:rsidRPr="00406AC5">
          <w:rPr>
            <w:rStyle w:val="Lienhypertexte"/>
            <w:rFonts w:ascii="Tenorite" w:hAnsi="Tenorite"/>
            <w:color w:val="auto"/>
          </w:rPr>
          <w:t>Rectificatif</w:t>
        </w:r>
      </w:hyperlink>
      <w:r w:rsidRPr="00406AC5">
        <w:rPr>
          <w:rFonts w:ascii="Tenorite" w:hAnsi="Tenorite"/>
        </w:rPr>
        <w:t xml:space="preserve"> à la décision d’exécution (UE) 2025/1708 de la Commission du 29 juillet 2025 concernant certaines mesures d’urgence relatives à l’infection par le virus de la dermatose nodulaire contagieuse en France et abrogeant la décision d’exécution (UE) 2025/1336 (JOUE 22/08/2025)</w:t>
      </w:r>
    </w:p>
    <w:p w14:paraId="4B0CFC54" w14:textId="77777777" w:rsidR="00121619" w:rsidRPr="00406AC5" w:rsidRDefault="00121619" w:rsidP="00E1364C">
      <w:pPr>
        <w:spacing w:after="0" w:line="240" w:lineRule="auto"/>
        <w:ind w:left="143"/>
        <w:jc w:val="both"/>
        <w:rPr>
          <w:rFonts w:ascii="Tenorite" w:hAnsi="Tenorite"/>
        </w:rPr>
      </w:pPr>
    </w:p>
    <w:p w14:paraId="1E77DA4E" w14:textId="77777777" w:rsidR="00121619" w:rsidRPr="002259A7" w:rsidRDefault="00121619" w:rsidP="00E1364C">
      <w:pPr>
        <w:spacing w:after="0" w:line="240" w:lineRule="auto"/>
        <w:ind w:left="143"/>
        <w:jc w:val="both"/>
        <w:rPr>
          <w:rFonts w:ascii="Tenorite" w:hAnsi="Tenorite"/>
        </w:rPr>
      </w:pPr>
      <w:hyperlink r:id="rId73" w:history="1">
        <w:r w:rsidRPr="002259A7">
          <w:rPr>
            <w:rStyle w:val="Lienhypertexte"/>
            <w:rFonts w:ascii="Tenorite" w:hAnsi="Tenorite"/>
          </w:rPr>
          <w:t>Décision</w:t>
        </w:r>
      </w:hyperlink>
      <w:r w:rsidRPr="002259A7">
        <w:rPr>
          <w:rFonts w:ascii="Tenorite" w:hAnsi="Tenorite"/>
        </w:rPr>
        <w:t xml:space="preserve"> d’exécution (UE) 2025/1764 de la Commission du 25 août 2025 modifiant la décision d’exécution (UE) 2025/1582 concernant certaines mesures d’urgence relatives à l’infection par le virus de la dermatose nodulaire contagieuse en Italie (JOUE 27/08/2025)</w:t>
      </w:r>
    </w:p>
    <w:p w14:paraId="76FEABB0" w14:textId="77777777" w:rsidR="00121619" w:rsidRPr="002259A7" w:rsidRDefault="00121619" w:rsidP="00E1364C">
      <w:pPr>
        <w:spacing w:after="0" w:line="240" w:lineRule="auto"/>
        <w:ind w:left="143"/>
        <w:jc w:val="both"/>
        <w:rPr>
          <w:rFonts w:ascii="Tenorite" w:hAnsi="Tenorite"/>
        </w:rPr>
      </w:pPr>
    </w:p>
    <w:p w14:paraId="230D7879" w14:textId="77777777" w:rsidR="00121619" w:rsidRPr="002259A7" w:rsidRDefault="00121619" w:rsidP="00E1364C">
      <w:pPr>
        <w:spacing w:after="0" w:line="240" w:lineRule="auto"/>
        <w:ind w:left="143"/>
        <w:jc w:val="both"/>
        <w:rPr>
          <w:rFonts w:ascii="Tenorite" w:hAnsi="Tenorite"/>
        </w:rPr>
      </w:pPr>
      <w:hyperlink r:id="rId74" w:history="1">
        <w:r w:rsidRPr="002259A7">
          <w:rPr>
            <w:rStyle w:val="Lienhypertexte"/>
            <w:rFonts w:ascii="Tenorite" w:hAnsi="Tenorite"/>
          </w:rPr>
          <w:t>Décision</w:t>
        </w:r>
      </w:hyperlink>
      <w:r w:rsidRPr="002259A7">
        <w:rPr>
          <w:rFonts w:ascii="Tenorite" w:hAnsi="Tenorite"/>
        </w:rPr>
        <w:t xml:space="preserve"> d’exécution (UE) 2025/1762 de la Commission du 25 août 2025 modifiant la décision d’exécution (UE) 2025/1708 concernant certaines mesures d’urgence relatives à l’infection par le virus de la dermatose nodulaire contagieuse en France (JOUE 28/08/2025)</w:t>
      </w:r>
    </w:p>
    <w:p w14:paraId="56D38569" w14:textId="77777777" w:rsidR="00121619" w:rsidRPr="002259A7" w:rsidRDefault="00121619" w:rsidP="00E1364C">
      <w:pPr>
        <w:spacing w:after="0" w:line="240" w:lineRule="auto"/>
        <w:ind w:left="143"/>
        <w:jc w:val="both"/>
        <w:rPr>
          <w:rFonts w:ascii="Tenorite" w:hAnsi="Tenorite"/>
        </w:rPr>
      </w:pPr>
    </w:p>
    <w:p w14:paraId="71AB1618" w14:textId="6163ED26" w:rsidR="00D025D4" w:rsidRPr="00C92711" w:rsidRDefault="00D025D4" w:rsidP="00406AC5">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Produits à base de viande</w:t>
      </w:r>
      <w:r w:rsidR="00E1364C" w:rsidRPr="00C92711">
        <w:rPr>
          <w:rFonts w:ascii="Tenorite" w:hAnsi="Tenorite"/>
          <w:color w:val="C45911" w:themeColor="accent2" w:themeShade="BF"/>
          <w:szCs w:val="20"/>
        </w:rPr>
        <w:t xml:space="preserve"> /</w:t>
      </w:r>
    </w:p>
    <w:p w14:paraId="4B7B7C52" w14:textId="43ACCBB2" w:rsidR="00D025D4" w:rsidRPr="00C92711" w:rsidRDefault="00D025D4" w:rsidP="00406AC5">
      <w:pPr>
        <w:spacing w:after="0" w:line="240" w:lineRule="auto"/>
        <w:ind w:left="426" w:hanging="283"/>
        <w:jc w:val="both"/>
        <w:rPr>
          <w:rFonts w:ascii="Tenorite" w:hAnsi="Tenorite"/>
          <w:color w:val="C45911" w:themeColor="accent2" w:themeShade="BF"/>
          <w:szCs w:val="20"/>
        </w:rPr>
      </w:pPr>
      <w:r w:rsidRPr="00C92711">
        <w:rPr>
          <w:rFonts w:ascii="Tenorite" w:hAnsi="Tenorite"/>
          <w:color w:val="C45911" w:themeColor="accent2" w:themeShade="BF"/>
          <w:szCs w:val="20"/>
        </w:rPr>
        <w:t>Sécurité sanitaire</w:t>
      </w:r>
      <w:r w:rsidR="00E1364C" w:rsidRPr="00C92711">
        <w:rPr>
          <w:rFonts w:ascii="Tenorite" w:hAnsi="Tenorite"/>
          <w:color w:val="C45911" w:themeColor="accent2" w:themeShade="BF"/>
          <w:szCs w:val="20"/>
        </w:rPr>
        <w:t xml:space="preserve"> /</w:t>
      </w:r>
    </w:p>
    <w:p w14:paraId="40EF2771" w14:textId="77777777" w:rsidR="00121619" w:rsidRPr="005B4285" w:rsidRDefault="00121619" w:rsidP="00406AC5">
      <w:pPr>
        <w:pStyle w:val="Textebrut"/>
        <w:jc w:val="both"/>
        <w:rPr>
          <w:rFonts w:ascii="Tenorite" w:hAnsi="Tenorite"/>
        </w:rPr>
      </w:pPr>
    </w:p>
    <w:sectPr w:rsidR="00121619" w:rsidRPr="005B4285" w:rsidSect="000C0DEF">
      <w:headerReference w:type="even" r:id="rId75"/>
      <w:headerReference w:type="default" r:id="rId76"/>
      <w:footerReference w:type="even" r:id="rId77"/>
      <w:footerReference w:type="default" r:id="rId78"/>
      <w:headerReference w:type="first" r:id="rId79"/>
      <w:footerReference w:type="first" r:id="rId80"/>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1C888" w14:textId="77777777" w:rsidR="000C0DEF" w:rsidRDefault="000C0DEF" w:rsidP="000C0DEF">
      <w:pPr>
        <w:spacing w:after="0" w:line="240" w:lineRule="auto"/>
      </w:pPr>
      <w:r>
        <w:separator/>
      </w:r>
    </w:p>
  </w:endnote>
  <w:endnote w:type="continuationSeparator" w:id="0">
    <w:p w14:paraId="14BE9002" w14:textId="77777777" w:rsidR="000C0DEF" w:rsidRDefault="000C0DE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enorite">
    <w:charset w:val="00"/>
    <w:family w:val="auto"/>
    <w:pitch w:val="variable"/>
    <w:sig w:usb0="80000003" w:usb1="00000001"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imianText-Orangutan">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30583" w14:textId="77777777" w:rsidR="00A255B0" w:rsidRDefault="00A255B0">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144275"/>
      <w:docPartObj>
        <w:docPartGallery w:val="Page Numbers (Bottom of Page)"/>
        <w:docPartUnique/>
      </w:docPartObj>
    </w:sdtPr>
    <w:sdtEndPr/>
    <w:sdtContent>
      <w:p w14:paraId="4E563226" w14:textId="1813420C" w:rsidR="000C0DEF" w:rsidRDefault="00C92711" w:rsidP="000C0DEF">
        <w:pPr>
          <w:pStyle w:val="Pieddepage"/>
          <w:ind w:right="141"/>
          <w:jc w:val="right"/>
        </w:pPr>
        <w:r>
          <w:t xml:space="preserve">Page </w:t>
        </w:r>
        <w:r>
          <w:rPr>
            <w:b/>
            <w:bCs/>
          </w:rPr>
          <w:fldChar w:fldCharType="begin"/>
        </w:r>
        <w:r>
          <w:rPr>
            <w:b/>
            <w:bCs/>
          </w:rPr>
          <w:instrText>PAGE  \* Arabic  \* MERGEFORMAT</w:instrText>
        </w:r>
        <w:r>
          <w:rPr>
            <w:b/>
            <w:bCs/>
          </w:rPr>
          <w:fldChar w:fldCharType="separate"/>
        </w:r>
        <w:r>
          <w:rPr>
            <w:b/>
            <w:bCs/>
          </w:rPr>
          <w:t>1</w:t>
        </w:r>
        <w:r>
          <w:rPr>
            <w:b/>
            <w:bCs/>
          </w:rPr>
          <w:fldChar w:fldCharType="end"/>
        </w:r>
        <w:r>
          <w:t xml:space="preserve"> sur </w:t>
        </w:r>
        <w:r>
          <w:rPr>
            <w:b/>
            <w:bCs/>
          </w:rPr>
          <w:fldChar w:fldCharType="begin"/>
        </w:r>
        <w:r>
          <w:rPr>
            <w:b/>
            <w:bCs/>
          </w:rPr>
          <w:instrText>NUMPAGES  \* Arabic  \* MERGEFORMAT</w:instrText>
        </w:r>
        <w:r>
          <w:rPr>
            <w:b/>
            <w:bCs/>
          </w:rPr>
          <w:fldChar w:fldCharType="separate"/>
        </w:r>
        <w:r>
          <w:rPr>
            <w:b/>
            <w:bCs/>
          </w:rPr>
          <w:t>2</w:t>
        </w:r>
        <w:r>
          <w:rPr>
            <w:b/>
            <w:bCs/>
          </w:rPr>
          <w:fldChar w:fldCharType="end"/>
        </w:r>
      </w:p>
    </w:sdtContent>
  </w:sdt>
  <w:p w14:paraId="5BCEC587" w14:textId="7AD8A93F" w:rsidR="000C0DEF" w:rsidRDefault="000C0DEF" w:rsidP="000C0DEF">
    <w:pPr>
      <w:pStyle w:val="Pieddepage"/>
      <w:tabs>
        <w:tab w:val="clear" w:pos="4536"/>
        <w:tab w:val="clear" w:pos="9072"/>
        <w:tab w:val="left" w:pos="3210"/>
      </w:tabs>
      <w:ind w:right="113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BC886" w14:textId="77777777" w:rsidR="00A255B0" w:rsidRDefault="00A255B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5A0E76" w14:textId="77777777" w:rsidR="000C0DEF" w:rsidRDefault="000C0DEF" w:rsidP="000C0DEF">
      <w:pPr>
        <w:spacing w:after="0" w:line="240" w:lineRule="auto"/>
      </w:pPr>
      <w:r>
        <w:separator/>
      </w:r>
    </w:p>
  </w:footnote>
  <w:footnote w:type="continuationSeparator" w:id="0">
    <w:p w14:paraId="7155249D" w14:textId="77777777" w:rsidR="000C0DEF" w:rsidRDefault="000C0DE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5FE77" w14:textId="77777777" w:rsidR="000C0DEF" w:rsidRDefault="00D65397">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2056"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777297" w14:textId="40B16649" w:rsidR="000C0DEF" w:rsidRPr="000C0DEF" w:rsidRDefault="008C6285" w:rsidP="005F3EA3">
    <w:pPr>
      <w:pStyle w:val="En-tte"/>
    </w:pPr>
    <w:r>
      <w:rPr>
        <w:rFonts w:ascii="Verdana" w:eastAsia="Times New Roman" w:hAnsi="Verdana" w:cs="Times New Roman"/>
        <w:noProof/>
        <w:sz w:val="20"/>
        <w:szCs w:val="20"/>
        <w:lang w:eastAsia="fr-FR"/>
      </w:rPr>
      <w:drawing>
        <wp:anchor distT="0" distB="0" distL="114300" distR="114300" simplePos="0" relativeHeight="251669504" behindDoc="0" locked="0" layoutInCell="1" allowOverlap="1" wp14:anchorId="16FAE00D" wp14:editId="3172109D">
          <wp:simplePos x="0" y="0"/>
          <wp:positionH relativeFrom="margin">
            <wp:posOffset>0</wp:posOffset>
          </wp:positionH>
          <wp:positionV relativeFrom="paragraph">
            <wp:posOffset>-635</wp:posOffset>
          </wp:positionV>
          <wp:extent cx="518287" cy="633039"/>
          <wp:effectExtent l="0" t="0" r="0" b="0"/>
          <wp:wrapNone/>
          <wp:docPr id="2006680919" name="Image 2006680919"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 Police, Graphique, logo&#10;&#10;Description générée automatiquement"/>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sidR="00D65397">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2057"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6AD3F" w14:textId="77777777" w:rsidR="000C0DEF" w:rsidRDefault="00D65397">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2055"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0DEF"/>
    <w:rsid w:val="00033C9C"/>
    <w:rsid w:val="000C0DEF"/>
    <w:rsid w:val="00121619"/>
    <w:rsid w:val="0012180A"/>
    <w:rsid w:val="0013368A"/>
    <w:rsid w:val="00186F4B"/>
    <w:rsid w:val="001B42BB"/>
    <w:rsid w:val="00223486"/>
    <w:rsid w:val="002B7CB6"/>
    <w:rsid w:val="002D0645"/>
    <w:rsid w:val="002D342B"/>
    <w:rsid w:val="002F17D1"/>
    <w:rsid w:val="00325D50"/>
    <w:rsid w:val="003C17F9"/>
    <w:rsid w:val="00406AC5"/>
    <w:rsid w:val="004214D7"/>
    <w:rsid w:val="005B4285"/>
    <w:rsid w:val="005F3EA3"/>
    <w:rsid w:val="005F79C3"/>
    <w:rsid w:val="006164F2"/>
    <w:rsid w:val="00616689"/>
    <w:rsid w:val="0064168D"/>
    <w:rsid w:val="00687506"/>
    <w:rsid w:val="00687AA8"/>
    <w:rsid w:val="006B249F"/>
    <w:rsid w:val="006F4BA9"/>
    <w:rsid w:val="00763EB6"/>
    <w:rsid w:val="00767DBA"/>
    <w:rsid w:val="00867589"/>
    <w:rsid w:val="008A1CC0"/>
    <w:rsid w:val="008B7919"/>
    <w:rsid w:val="008C6285"/>
    <w:rsid w:val="00901715"/>
    <w:rsid w:val="00930E35"/>
    <w:rsid w:val="00980424"/>
    <w:rsid w:val="009F0276"/>
    <w:rsid w:val="009F622E"/>
    <w:rsid w:val="00A255B0"/>
    <w:rsid w:val="00A8283C"/>
    <w:rsid w:val="00B33565"/>
    <w:rsid w:val="00BB56BE"/>
    <w:rsid w:val="00BB7942"/>
    <w:rsid w:val="00BF1263"/>
    <w:rsid w:val="00BF7342"/>
    <w:rsid w:val="00C2622D"/>
    <w:rsid w:val="00C84EFE"/>
    <w:rsid w:val="00C91FA1"/>
    <w:rsid w:val="00C92711"/>
    <w:rsid w:val="00D025D4"/>
    <w:rsid w:val="00D65397"/>
    <w:rsid w:val="00D85BE8"/>
    <w:rsid w:val="00D94FA6"/>
    <w:rsid w:val="00DD1902"/>
    <w:rsid w:val="00E1364C"/>
    <w:rsid w:val="00E2426E"/>
    <w:rsid w:val="00E464D9"/>
    <w:rsid w:val="00FB67EF"/>
    <w:rsid w:val="00FD676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8A1CC0"/>
    <w:rPr>
      <w:strike w:val="0"/>
      <w:dstrike w:val="0"/>
      <w:color w:val="0000FF"/>
      <w:u w:val="none"/>
      <w:effect w:val="none"/>
    </w:rPr>
  </w:style>
  <w:style w:type="paragraph" w:styleId="Textebrut">
    <w:name w:val="Plain Text"/>
    <w:basedOn w:val="Normal"/>
    <w:link w:val="TextebrutCar"/>
    <w:uiPriority w:val="99"/>
    <w:unhideWhenUsed/>
    <w:rsid w:val="008A1CC0"/>
    <w:pPr>
      <w:spacing w:after="0" w:line="240" w:lineRule="auto"/>
    </w:pPr>
    <w:rPr>
      <w:rFonts w:ascii="Calibri" w:hAnsi="Calibri"/>
      <w:szCs w:val="21"/>
    </w:rPr>
  </w:style>
  <w:style w:type="character" w:customStyle="1" w:styleId="TextebrutCar">
    <w:name w:val="Texte brut Car"/>
    <w:basedOn w:val="Policepardfaut"/>
    <w:link w:val="Textebrut"/>
    <w:uiPriority w:val="99"/>
    <w:rsid w:val="008A1CC0"/>
    <w:rPr>
      <w:rFonts w:ascii="Calibri" w:hAnsi="Calibri"/>
      <w:szCs w:val="21"/>
    </w:rPr>
  </w:style>
  <w:style w:type="character" w:styleId="Lienhypertextesuivivisit">
    <w:name w:val="FollowedHyperlink"/>
    <w:basedOn w:val="Policepardfaut"/>
    <w:uiPriority w:val="99"/>
    <w:semiHidden/>
    <w:unhideWhenUsed/>
    <w:rsid w:val="0012161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L_202501212" TargetMode="External"/><Relationship Id="rId21" Type="http://schemas.openxmlformats.org/officeDocument/2006/relationships/hyperlink" Target="https://eur-lex.europa.eu/legal-content/FR/TXT/PDF/?uri=OJ:C_202503649" TargetMode="External"/><Relationship Id="rId42" Type="http://schemas.openxmlformats.org/officeDocument/2006/relationships/hyperlink" Target="https://eur-lex.europa.eu/legal-content/FR/TXT/PDF/?uri=OJ:L_202501321" TargetMode="External"/><Relationship Id="rId47" Type="http://schemas.openxmlformats.org/officeDocument/2006/relationships/hyperlink" Target="https://www.legifrance.gouv.fr/jorf/id/JORFTEXT000052001308" TargetMode="External"/><Relationship Id="rId63" Type="http://schemas.openxmlformats.org/officeDocument/2006/relationships/hyperlink" Target="https://www.legifrance.gouv.fr/jorf/id/JORFTEXT000052097387" TargetMode="External"/><Relationship Id="rId68" Type="http://schemas.openxmlformats.org/officeDocument/2006/relationships/hyperlink" Target="https://eur-lex.europa.eu/legal-content/FR/TXT/PDF/?uri=OJ:L_202501401" TargetMode="External"/><Relationship Id="rId16" Type="http://schemas.openxmlformats.org/officeDocument/2006/relationships/hyperlink" Target="https://info.agriculture.gouv.fr/boagri/instruction-2025-456" TargetMode="External"/><Relationship Id="rId11" Type="http://schemas.openxmlformats.org/officeDocument/2006/relationships/hyperlink" Target="https://eur-lex.europa.eu/legal-content/FR/TXT/PDF/?uri=OJ:L_202501537" TargetMode="External"/><Relationship Id="rId32" Type="http://schemas.openxmlformats.org/officeDocument/2006/relationships/hyperlink" Target="https://www.plateforme-sca.fr/ndeg137-11-juillet-2025" TargetMode="External"/><Relationship Id="rId37" Type="http://schemas.openxmlformats.org/officeDocument/2006/relationships/hyperlink" Target="https://eur-lex.europa.eu/legal-content/FR/TXT/PDF/?uri=OJ:L_202501441" TargetMode="External"/><Relationship Id="rId53" Type="http://schemas.openxmlformats.org/officeDocument/2006/relationships/hyperlink" Target="https://eur-lex.europa.eu/legal-content/FR/TXT/PDF/?uri=OJ:C_202504106" TargetMode="External"/><Relationship Id="rId58" Type="http://schemas.openxmlformats.org/officeDocument/2006/relationships/hyperlink" Target="https://www.legifrance.gouv.fr/jorf/id/JORFTEXT000051942894" TargetMode="External"/><Relationship Id="rId74" Type="http://schemas.openxmlformats.org/officeDocument/2006/relationships/hyperlink" Target="https://eur-lex.europa.eu/legal-content/FR/TXT/PDF/?uri=OJ:L_202501762" TargetMode="External"/><Relationship Id="rId79" Type="http://schemas.openxmlformats.org/officeDocument/2006/relationships/header" Target="header3.xml"/><Relationship Id="rId5" Type="http://schemas.openxmlformats.org/officeDocument/2006/relationships/footnotes" Target="footnotes.xml"/><Relationship Id="rId61" Type="http://schemas.openxmlformats.org/officeDocument/2006/relationships/hyperlink" Target="https://www.legifrance.gouv.fr/jorf/id/JORFTEXT000051954545" TargetMode="External"/><Relationship Id="rId82" Type="http://schemas.openxmlformats.org/officeDocument/2006/relationships/theme" Target="theme/theme1.xml"/><Relationship Id="rId19" Type="http://schemas.openxmlformats.org/officeDocument/2006/relationships/hyperlink" Target="https://eur-lex.europa.eu/legal-content/FR/TXT/PDF/?uri=OJ:L_202501282" TargetMode="External"/><Relationship Id="rId14" Type="http://schemas.openxmlformats.org/officeDocument/2006/relationships/hyperlink" Target="https://eur-lex.europa.eu/legal-content/FR/TXT/PDF/?uri=OJ:L_202501549" TargetMode="External"/><Relationship Id="rId22" Type="http://schemas.openxmlformats.org/officeDocument/2006/relationships/hyperlink" Target="https://eur-lex.europa.eu/legal-content/FR/TXT/PDF/?uri=OJ:L_202501489" TargetMode="External"/><Relationship Id="rId27" Type="http://schemas.openxmlformats.org/officeDocument/2006/relationships/hyperlink" Target="https://eur-lex.europa.eu/legal-content/FR/TXT/PDF/?uri=OJ:L_202501305" TargetMode="External"/><Relationship Id="rId30" Type="http://schemas.openxmlformats.org/officeDocument/2006/relationships/hyperlink" Target="https://www.anses.fr/sites/default/files/VSR2022-SA-0198-RA.pdf" TargetMode="External"/><Relationship Id="rId35" Type="http://schemas.openxmlformats.org/officeDocument/2006/relationships/hyperlink" Target="https://eur-lex.europa.eu/legal-content/FR/TXT/PDF/?uri=OJ:L_202501564" TargetMode="External"/><Relationship Id="rId43" Type="http://schemas.openxmlformats.org/officeDocument/2006/relationships/hyperlink" Target="https://www.legifrance.gouv.fr/jorf/id/JORFTEXT000052050353" TargetMode="External"/><Relationship Id="rId48" Type="http://schemas.openxmlformats.org/officeDocument/2006/relationships/hyperlink" Target="https://www.legifrance.gouv.fr/jorf/id/JORFTEXT000052002367" TargetMode="External"/><Relationship Id="rId56" Type="http://schemas.openxmlformats.org/officeDocument/2006/relationships/hyperlink" Target="https://www.legifrance.gouv.fr/jorf/id/JORFTEXT000052001297" TargetMode="External"/><Relationship Id="rId64" Type="http://schemas.openxmlformats.org/officeDocument/2006/relationships/hyperlink" Target="https://info.agriculture.gouv.fr/boagri/instruction-2025-457" TargetMode="External"/><Relationship Id="rId69" Type="http://schemas.openxmlformats.org/officeDocument/2006/relationships/hyperlink" Target="https://www.legifrance.gouv.fr/jorf/id/JORFTEXT000052156941" TargetMode="External"/><Relationship Id="rId77" Type="http://schemas.openxmlformats.org/officeDocument/2006/relationships/footer" Target="footer1.xml"/><Relationship Id="rId8" Type="http://schemas.openxmlformats.org/officeDocument/2006/relationships/hyperlink" Target="https://eur-lex.europa.eu/legal-content/FR/TXT/PDF/?uri=OJ:L_202501509" TargetMode="External"/><Relationship Id="rId51" Type="http://schemas.openxmlformats.org/officeDocument/2006/relationships/hyperlink" Target="https://info.agriculture.gouv.fr/boagri/instruction-2025-539" TargetMode="External"/><Relationship Id="rId72" Type="http://schemas.openxmlformats.org/officeDocument/2006/relationships/hyperlink" Target="https://eur-lex.europa.eu/legal-content/FR/TXT/PDF/?uri=OJ:L_202590674" TargetMode="External"/><Relationship Id="rId80" Type="http://schemas.openxmlformats.org/officeDocument/2006/relationships/footer" Target="footer3.xml"/><Relationship Id="rId3" Type="http://schemas.openxmlformats.org/officeDocument/2006/relationships/settings" Target="settings.xml"/><Relationship Id="rId12" Type="http://schemas.openxmlformats.org/officeDocument/2006/relationships/hyperlink" Target="https://eur-lex.europa.eu/legal-content/FR/TXT/PDF/?uri=OJ:L_202501528" TargetMode="External"/><Relationship Id="rId17" Type="http://schemas.openxmlformats.org/officeDocument/2006/relationships/hyperlink" Target="https://info.agriculture.gouv.fr/boagri/document_administratif-f74f1ecd-e99b-4fab-a0e5-0d0269f3c2dd" TargetMode="External"/><Relationship Id="rId25" Type="http://schemas.openxmlformats.org/officeDocument/2006/relationships/hyperlink" Target="https://www.anses.fr/sites/default/files/EAUX2022-SA-0217.pdf" TargetMode="External"/><Relationship Id="rId33" Type="http://schemas.openxmlformats.org/officeDocument/2006/relationships/hyperlink" Target="https://www.plateforme-sca.fr/ndeg138-24-juillet-2025" TargetMode="External"/><Relationship Id="rId38" Type="http://schemas.openxmlformats.org/officeDocument/2006/relationships/hyperlink" Target="https://eur-lex.europa.eu/legal-content/FR/TXT/PDF/?uri=OJ:L_202501422" TargetMode="External"/><Relationship Id="rId46" Type="http://schemas.openxmlformats.org/officeDocument/2006/relationships/hyperlink" Target="https://www.legifrance.gouv.fr/jorf/id/JORFTEXT000051922163" TargetMode="External"/><Relationship Id="rId59" Type="http://schemas.openxmlformats.org/officeDocument/2006/relationships/hyperlink" Target="https://www.anses.fr/sites/default/files/AP-2023-SA-0053RA.pdf" TargetMode="External"/><Relationship Id="rId67" Type="http://schemas.openxmlformats.org/officeDocument/2006/relationships/hyperlink" Target="https://eur-lex.europa.eu/legal-content/FR/TXT/PDF/?uri=OJ:L_202501336" TargetMode="External"/><Relationship Id="rId20" Type="http://schemas.openxmlformats.org/officeDocument/2006/relationships/hyperlink" Target="https://eur-lex.europa.eu/legal-content/FR/TXT/PDF/?uri=OJ:C_202503653" TargetMode="External"/><Relationship Id="rId41" Type="http://schemas.openxmlformats.org/officeDocument/2006/relationships/hyperlink" Target="https://eur-lex.europa.eu/legal-content/FR/TXT/PDF/?uri=OJ:L_202501445" TargetMode="External"/><Relationship Id="rId54" Type="http://schemas.openxmlformats.org/officeDocument/2006/relationships/hyperlink" Target="https://www.legifrance.gouv.fr/jorf/id/JORFTEXT000051879755" TargetMode="External"/><Relationship Id="rId62" Type="http://schemas.openxmlformats.org/officeDocument/2006/relationships/hyperlink" Target="https://info.agriculture.gouv.fr/boagri/instruction-2025-467" TargetMode="External"/><Relationship Id="rId70" Type="http://schemas.openxmlformats.org/officeDocument/2006/relationships/hyperlink" Target="https://eur-lex.europa.eu/legal-content/FR/TXT/PDF/?uri=OJ:L_202501582" TargetMode="External"/><Relationship Id="rId7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www.legifrance.gouv.fr/jorf/id/JORFTEXT000051871973" TargetMode="External"/><Relationship Id="rId23" Type="http://schemas.openxmlformats.org/officeDocument/2006/relationships/hyperlink" Target="https://eur-lex.europa.eu/legal-content/FR/TXT/PDF/?uri=OJ:L_202501491" TargetMode="External"/><Relationship Id="rId28" Type="http://schemas.openxmlformats.org/officeDocument/2006/relationships/hyperlink" Target="https://eur-lex.europa.eu/legal-content/FR/TXT/PDF/?uri=OJ:L_202500843" TargetMode="External"/><Relationship Id="rId36" Type="http://schemas.openxmlformats.org/officeDocument/2006/relationships/hyperlink" Target="https://eur-lex.europa.eu/legal-content/FR/TXT/PDF/?uri=OJ:L_202501727" TargetMode="External"/><Relationship Id="rId49" Type="http://schemas.openxmlformats.org/officeDocument/2006/relationships/hyperlink" Target="https://www.legifrance.gouv.fr/jorf/id/JORFTEXT000051921035" TargetMode="External"/><Relationship Id="rId57" Type="http://schemas.openxmlformats.org/officeDocument/2006/relationships/hyperlink" Target="https://info.agriculture.gouv.fr/boagri/document_administratif-ad27267b-b27b-4205-881f-cb86ff6d2e0f" TargetMode="External"/><Relationship Id="rId10" Type="http://schemas.openxmlformats.org/officeDocument/2006/relationships/hyperlink" Target="https://eur-lex.europa.eu/legal-content/FR/TXT/PDF/?uri=OJ:L_202501515" TargetMode="External"/><Relationship Id="rId31" Type="http://schemas.openxmlformats.org/officeDocument/2006/relationships/hyperlink" Target="https://vigilanses.anses.fr/sites/default/files/25%2007%20ED%20VigilAnses_N26%20FR.pdf" TargetMode="External"/><Relationship Id="rId44" Type="http://schemas.openxmlformats.org/officeDocument/2006/relationships/hyperlink" Target="https://www.legifrance.gouv.fr/jorf/id/JORFTEXT000051832928" TargetMode="External"/><Relationship Id="rId52" Type="http://schemas.openxmlformats.org/officeDocument/2006/relationships/hyperlink" Target="https://www.anses.fr/sites/default/files/BIOTECHS2024-SA-0053.pdf" TargetMode="External"/><Relationship Id="rId60" Type="http://schemas.openxmlformats.org/officeDocument/2006/relationships/hyperlink" Target="https://eur-lex.europa.eu/legal-content/FR/TXT/PDF/?uri=OJ:L_202501337*" TargetMode="External"/><Relationship Id="rId65" Type="http://schemas.openxmlformats.org/officeDocument/2006/relationships/hyperlink" Target="https://info.agriculture.gouv.fr/boagri/instruction-2025-475" TargetMode="External"/><Relationship Id="rId73" Type="http://schemas.openxmlformats.org/officeDocument/2006/relationships/hyperlink" Target="https://eur-lex.europa.eu/legal-content/FR/TXT/PDF/?uri=OJ:L_202501764" TargetMode="External"/><Relationship Id="rId78" Type="http://schemas.openxmlformats.org/officeDocument/2006/relationships/footer" Target="footer2.xm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ur-lex.europa.eu/legal-content/FR/TXT/PDF/?uri=OJ:L_202501513" TargetMode="External"/><Relationship Id="rId13" Type="http://schemas.openxmlformats.org/officeDocument/2006/relationships/hyperlink" Target="https://eur-lex.europa.eu/legal-content/FR/TXT/PDF/?uri=OJ:L_202501530" TargetMode="External"/><Relationship Id="rId18" Type="http://schemas.openxmlformats.org/officeDocument/2006/relationships/hyperlink" Target="https://eur-lex.europa.eu/legal-content/FR/TXT/PDF/?uri=OJ:L_202501262" TargetMode="External"/><Relationship Id="rId39" Type="http://schemas.openxmlformats.org/officeDocument/2006/relationships/hyperlink" Target="https://www.legifrance.gouv.fr/jorf/id/JORFTEXT000052054414" TargetMode="External"/><Relationship Id="rId34" Type="http://schemas.openxmlformats.org/officeDocument/2006/relationships/hyperlink" Target="https://knowledge4policy.ec.europa.eu/food-fraud-quality/monthly-food-fraud-summary-reports/publication/food-fraud-summary-may-june-2025_en" TargetMode="External"/><Relationship Id="rId50" Type="http://schemas.openxmlformats.org/officeDocument/2006/relationships/hyperlink" Target="https://eur-lex.europa.eu/legal-content/FR/TXT/PDF/?uri=OJ:C_202504069" TargetMode="External"/><Relationship Id="rId55" Type="http://schemas.openxmlformats.org/officeDocument/2006/relationships/hyperlink" Target="https://info.agriculture.gouv.fr/boagri/document_administratif-ca8f94fb-9cda-4bde-b402-c31fbe474ff3" TargetMode="External"/><Relationship Id="rId76" Type="http://schemas.openxmlformats.org/officeDocument/2006/relationships/header" Target="header2.xml"/><Relationship Id="rId7" Type="http://schemas.openxmlformats.org/officeDocument/2006/relationships/hyperlink" Target="https://eur-lex.europa.eu/legal-content/FR/TXT/PDF/?uri=OJ:L_202501263" TargetMode="External"/><Relationship Id="rId71" Type="http://schemas.openxmlformats.org/officeDocument/2006/relationships/hyperlink" Target="https://eur-lex.europa.eu/legal-content/FR/TXT/PDF/?uri=OJ:L_202501708" TargetMode="External"/><Relationship Id="rId2" Type="http://schemas.openxmlformats.org/officeDocument/2006/relationships/styles" Target="styles.xml"/><Relationship Id="rId29" Type="http://schemas.openxmlformats.org/officeDocument/2006/relationships/hyperlink" Target="https://eur-lex.europa.eu/legal-content/FR/TXT/PDF/?uri=OJ:L_202501399" TargetMode="External"/><Relationship Id="rId24" Type="http://schemas.openxmlformats.org/officeDocument/2006/relationships/hyperlink" Target="https://www.anses.fr/sites/default/files/ERCA2023-AUTO-0123.pdf" TargetMode="External"/><Relationship Id="rId40" Type="http://schemas.openxmlformats.org/officeDocument/2006/relationships/hyperlink" Target="https://eur-lex.europa.eu/legal-content/FR/TXT/PDF/?uri=OJ:L_202501560" TargetMode="External"/><Relationship Id="rId45" Type="http://schemas.openxmlformats.org/officeDocument/2006/relationships/hyperlink" Target="https://www.legifrance.gouv.fr/jorf/id/JORFTEXT000051832932" TargetMode="External"/><Relationship Id="rId66" Type="http://schemas.openxmlformats.org/officeDocument/2006/relationships/hyperlink" Target="https://eur-lex.europa.eu/legal-content/FR/TXT/PDF/?uri=OJ:L_20250131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2F9048-52DE-4C9E-ACCF-03401F2D77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3903</Words>
  <Characters>21472</Characters>
  <Application>Microsoft Office Word</Application>
  <DocSecurity>0</DocSecurity>
  <Lines>178</Lines>
  <Paragraphs>50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Denis GRIVET</cp:lastModifiedBy>
  <cp:revision>5</cp:revision>
  <dcterms:created xsi:type="dcterms:W3CDTF">2025-09-16T10:30:00Z</dcterms:created>
  <dcterms:modified xsi:type="dcterms:W3CDTF">2025-10-14T13:48:00Z</dcterms:modified>
</cp:coreProperties>
</file>