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87A3F" w14:textId="70C3DCE5" w:rsidR="00DF6016" w:rsidRDefault="002B7CB6" w:rsidP="005F3EA3">
      <w:pPr>
        <w:spacing w:after="0" w:line="240" w:lineRule="auto"/>
        <w:jc w:val="center"/>
        <w:rPr>
          <w:rFonts w:ascii="Tenorite" w:hAnsi="Tenorite" w:cs="Tahoma"/>
          <w:b/>
          <w:color w:val="EF671A"/>
          <w:sz w:val="32"/>
          <w:szCs w:val="32"/>
          <w:u w:val="single"/>
        </w:rPr>
      </w:pPr>
      <w:r w:rsidRPr="005F3EA3">
        <w:rPr>
          <w:rFonts w:ascii="Tenorite" w:hAnsi="Tenorite" w:cs="Tahoma"/>
          <w:b/>
          <w:color w:val="EF671A"/>
          <w:sz w:val="32"/>
          <w:szCs w:val="32"/>
          <w:u w:val="single"/>
        </w:rPr>
        <w:t>Partie 1 : Règlementation générale</w:t>
      </w:r>
    </w:p>
    <w:p w14:paraId="483AE85D" w14:textId="77777777" w:rsidR="004A1CD1" w:rsidRPr="004A1CD1" w:rsidRDefault="004A1CD1" w:rsidP="004A1CD1">
      <w:pPr>
        <w:pStyle w:val="Textebrut"/>
        <w:ind w:left="142" w:right="141"/>
        <w:jc w:val="both"/>
        <w:rPr>
          <w:rFonts w:ascii="Tenorite" w:hAnsi="Tenorite"/>
        </w:rPr>
      </w:pPr>
      <w:hyperlink r:id="rId7" w:history="1">
        <w:r w:rsidRPr="004A1CD1">
          <w:rPr>
            <w:rStyle w:val="Lienhypertexte"/>
            <w:rFonts w:ascii="Tenorite" w:hAnsi="Tenorite"/>
          </w:rPr>
          <w:t>Directive</w:t>
        </w:r>
      </w:hyperlink>
      <w:r w:rsidRPr="004A1CD1">
        <w:rPr>
          <w:rFonts w:ascii="Tenorite" w:hAnsi="Tenorite"/>
        </w:rPr>
        <w:t xml:space="preserve"> (UE) 2025/1892 du Parlement européen et du Conseil du 10 septembre 2025 modifiant la directive 2008/98/CE relative aux déchets [Gaspillage alimentaire] (JOUE 26/09/2025)</w:t>
      </w:r>
    </w:p>
    <w:p w14:paraId="25CD7E0E" w14:textId="77777777" w:rsidR="004A1CD1" w:rsidRPr="004A1CD1" w:rsidRDefault="004A1CD1" w:rsidP="004A1CD1">
      <w:pPr>
        <w:pStyle w:val="Textebrut"/>
        <w:ind w:left="142" w:right="141"/>
        <w:jc w:val="both"/>
        <w:rPr>
          <w:rFonts w:ascii="Tenorite" w:hAnsi="Tenorite"/>
        </w:rPr>
      </w:pPr>
    </w:p>
    <w:p w14:paraId="21B32D8E" w14:textId="77777777" w:rsidR="004A1CD1" w:rsidRPr="004A1CD1" w:rsidRDefault="004A1CD1" w:rsidP="004A1CD1">
      <w:pPr>
        <w:pStyle w:val="Textebrut"/>
        <w:ind w:left="142" w:right="141"/>
        <w:jc w:val="both"/>
        <w:rPr>
          <w:rFonts w:ascii="Tenorite" w:hAnsi="Tenorite"/>
        </w:rPr>
      </w:pPr>
      <w:hyperlink r:id="rId8" w:history="1">
        <w:r w:rsidRPr="004A1CD1">
          <w:rPr>
            <w:rStyle w:val="Lienhypertexte"/>
            <w:rFonts w:ascii="Tenorite" w:hAnsi="Tenorite"/>
          </w:rPr>
          <w:t>Arrêté</w:t>
        </w:r>
      </w:hyperlink>
      <w:r w:rsidRPr="004A1CD1">
        <w:rPr>
          <w:rFonts w:ascii="Tenorite" w:hAnsi="Tenorite"/>
        </w:rPr>
        <w:t xml:space="preserve"> du 8 septembre 2025 portant application de l'article D. 541-216 du code de l'environnement et approuvant le référentiel « Restaurants » du label national « anti-gaspillage alimentaire » pour le secteur de la restauration (JORF 09/09/2025)</w:t>
      </w:r>
    </w:p>
    <w:p w14:paraId="71E775A0" w14:textId="77777777" w:rsidR="004A1CD1" w:rsidRPr="004A1CD1" w:rsidRDefault="004A1CD1" w:rsidP="004A1CD1">
      <w:pPr>
        <w:pStyle w:val="Textebrut"/>
        <w:ind w:left="142" w:right="141"/>
        <w:jc w:val="both"/>
        <w:rPr>
          <w:rFonts w:ascii="Tenorite" w:hAnsi="Tenorite"/>
        </w:rPr>
      </w:pPr>
    </w:p>
    <w:p w14:paraId="5798818C" w14:textId="77777777" w:rsidR="004A1CD1" w:rsidRDefault="004A1CD1" w:rsidP="004A1CD1">
      <w:pPr>
        <w:pStyle w:val="Textebrut"/>
        <w:ind w:left="142" w:right="141"/>
        <w:jc w:val="both"/>
        <w:rPr>
          <w:rFonts w:ascii="Tenorite" w:hAnsi="Tenorite"/>
        </w:rPr>
      </w:pPr>
      <w:hyperlink r:id="rId9" w:history="1">
        <w:r w:rsidRPr="004A1CD1">
          <w:rPr>
            <w:rStyle w:val="Lienhypertexte"/>
            <w:rFonts w:ascii="Tenorite" w:hAnsi="Tenorite"/>
          </w:rPr>
          <w:t>Arrêté</w:t>
        </w:r>
      </w:hyperlink>
      <w:r w:rsidRPr="004A1CD1">
        <w:rPr>
          <w:rFonts w:ascii="Tenorite" w:hAnsi="Tenorite"/>
        </w:rPr>
        <w:t xml:space="preserve"> du 8 septembre 2025 portant application de l'article D. 541-216 du code de l'environnement et approuvant le référentiel « Unités de préparation » du label national « anti-gaspillage alimentaire » pour le secteur de la restauration (JORF 09/09/2025)</w:t>
      </w:r>
    </w:p>
    <w:p w14:paraId="49AC13AA" w14:textId="77777777" w:rsidR="00333853" w:rsidRPr="004A1CD1" w:rsidRDefault="00333853" w:rsidP="004A1CD1">
      <w:pPr>
        <w:pStyle w:val="Textebrut"/>
        <w:ind w:left="142" w:right="141"/>
        <w:jc w:val="both"/>
        <w:rPr>
          <w:rFonts w:ascii="Tenorite" w:hAnsi="Tenorite"/>
        </w:rPr>
      </w:pPr>
    </w:p>
    <w:p w14:paraId="3C04F21F" w14:textId="77777777" w:rsidR="002B7CB6" w:rsidRPr="00E248D4" w:rsidRDefault="002B7CB6" w:rsidP="00E248D4">
      <w:pPr>
        <w:shd w:val="clear" w:color="auto" w:fill="D9D9D9" w:themeFill="background1" w:themeFillShade="D9"/>
        <w:spacing w:after="0" w:line="240" w:lineRule="auto"/>
        <w:ind w:left="284" w:hanging="142"/>
        <w:jc w:val="both"/>
        <w:rPr>
          <w:rFonts w:ascii="Tenorite" w:hAnsi="Tenorite"/>
          <w:b/>
          <w:color w:val="833C0B" w:themeColor="accent2" w:themeShade="80"/>
        </w:rPr>
      </w:pPr>
      <w:r w:rsidRPr="00E248D4">
        <w:rPr>
          <w:rFonts w:ascii="Tenorite" w:hAnsi="Tenorite"/>
          <w:b/>
          <w:color w:val="833C0B" w:themeColor="accent2" w:themeShade="80"/>
        </w:rPr>
        <w:t xml:space="preserve">ADDITIFS, </w:t>
      </w:r>
      <w:r w:rsidR="00767DBA" w:rsidRPr="00E248D4">
        <w:rPr>
          <w:rFonts w:ascii="Tenorite" w:hAnsi="Tenorite"/>
          <w:b/>
          <w:color w:val="833C0B" w:themeColor="accent2" w:themeShade="80"/>
        </w:rPr>
        <w:t>ET INGREDIENTS</w:t>
      </w:r>
    </w:p>
    <w:p w14:paraId="268400F6" w14:textId="619B829F" w:rsidR="00702CC0" w:rsidRPr="00E248D4" w:rsidRDefault="004A1CD1" w:rsidP="004A1CD1">
      <w:pPr>
        <w:spacing w:after="0" w:line="240" w:lineRule="auto"/>
        <w:ind w:left="284" w:hanging="142"/>
        <w:jc w:val="both"/>
        <w:rPr>
          <w:rFonts w:ascii="Tenorite" w:hAnsi="Tenorite"/>
          <w:color w:val="C45911" w:themeColor="accent2" w:themeShade="BF"/>
        </w:rPr>
      </w:pPr>
      <w:r>
        <w:rPr>
          <w:rFonts w:ascii="Tenorite" w:hAnsi="Tenorite"/>
          <w:color w:val="C45911" w:themeColor="accent2" w:themeShade="BF"/>
        </w:rPr>
        <w:t>/</w:t>
      </w:r>
    </w:p>
    <w:p w14:paraId="65D622F0" w14:textId="77777777" w:rsidR="00DF6016" w:rsidRPr="00E248D4" w:rsidRDefault="00DF6016" w:rsidP="00E248D4">
      <w:pPr>
        <w:spacing w:after="0" w:line="240" w:lineRule="auto"/>
        <w:ind w:left="284" w:hanging="142"/>
        <w:jc w:val="both"/>
        <w:rPr>
          <w:rFonts w:ascii="Tenorite" w:hAnsi="Tenorite"/>
          <w:color w:val="C45911" w:themeColor="accent2" w:themeShade="BF"/>
        </w:rPr>
      </w:pPr>
    </w:p>
    <w:p w14:paraId="29A0009E"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ANALYSE ET CONTROLE</w:t>
      </w:r>
    </w:p>
    <w:p w14:paraId="312D6A88" w14:textId="59BC0AAB" w:rsidR="00767DBA" w:rsidRDefault="004A1CD1" w:rsidP="00767DBA">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w:t>
      </w:r>
    </w:p>
    <w:p w14:paraId="1A321C01" w14:textId="77777777" w:rsidR="00E248D4" w:rsidRPr="00E248D4" w:rsidRDefault="00E248D4" w:rsidP="00E248D4">
      <w:pPr>
        <w:spacing w:after="0" w:line="240" w:lineRule="auto"/>
        <w:ind w:left="142"/>
        <w:jc w:val="both"/>
        <w:rPr>
          <w:rFonts w:ascii="Tenorite" w:hAnsi="Tenorite"/>
          <w:color w:val="C45911" w:themeColor="accent2" w:themeShade="BF"/>
        </w:rPr>
      </w:pPr>
    </w:p>
    <w:p w14:paraId="365CBF0B"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BIOCIDES – PRODUITS DE NETTOYAGE</w:t>
      </w:r>
    </w:p>
    <w:p w14:paraId="47B32303" w14:textId="77777777" w:rsidR="004A1CD1" w:rsidRPr="004A1CD1" w:rsidRDefault="004A1CD1" w:rsidP="00333853">
      <w:pPr>
        <w:pStyle w:val="Textebrut"/>
        <w:ind w:left="142"/>
        <w:jc w:val="both"/>
        <w:rPr>
          <w:rFonts w:ascii="Tenorite" w:hAnsi="Tenorite"/>
        </w:rPr>
      </w:pPr>
      <w:hyperlink r:id="rId10" w:history="1">
        <w:r w:rsidRPr="004A1CD1">
          <w:rPr>
            <w:rStyle w:val="Lienhypertexte"/>
            <w:rFonts w:ascii="Tenorite" w:hAnsi="Tenorite"/>
          </w:rPr>
          <w:t>Arrêté</w:t>
        </w:r>
      </w:hyperlink>
      <w:r w:rsidRPr="004A1CD1">
        <w:rPr>
          <w:rFonts w:ascii="Tenorite" w:hAnsi="Tenorite"/>
        </w:rPr>
        <w:t xml:space="preserve"> du 5 septembre 2025 modifiant l'arrêté du 9 octobre 2013 relatif aux conditions d'exercice de l'activité d'utilisateur professionnel et de distributeur de certains types de produits biocides (JORF 09/09/2025)</w:t>
      </w:r>
    </w:p>
    <w:p w14:paraId="3E52F4DE" w14:textId="77777777" w:rsidR="004A1CD1" w:rsidRPr="004A1CD1" w:rsidRDefault="004A1CD1" w:rsidP="00333853">
      <w:pPr>
        <w:pStyle w:val="Textebrut"/>
        <w:ind w:left="142"/>
        <w:jc w:val="both"/>
        <w:rPr>
          <w:rFonts w:ascii="Tenorite" w:hAnsi="Tenorite"/>
        </w:rPr>
      </w:pPr>
    </w:p>
    <w:p w14:paraId="0F88CD21" w14:textId="77777777" w:rsidR="004A1CD1" w:rsidRPr="004A1CD1" w:rsidRDefault="004A1CD1" w:rsidP="00333853">
      <w:pPr>
        <w:pStyle w:val="Textebrut"/>
        <w:ind w:left="142"/>
        <w:jc w:val="both"/>
        <w:rPr>
          <w:rFonts w:ascii="Tenorite" w:hAnsi="Tenorite"/>
        </w:rPr>
      </w:pPr>
      <w:hyperlink r:id="rId11" w:history="1">
        <w:r w:rsidRPr="004A1CD1">
          <w:rPr>
            <w:rStyle w:val="Lienhypertexte"/>
            <w:rFonts w:ascii="Tenorite" w:hAnsi="Tenorite"/>
          </w:rPr>
          <w:t>Arrêté</w:t>
        </w:r>
      </w:hyperlink>
      <w:r w:rsidRPr="004A1CD1">
        <w:rPr>
          <w:rFonts w:ascii="Tenorite" w:hAnsi="Tenorite"/>
        </w:rPr>
        <w:t xml:space="preserve"> du 25 septembre 2025 autorisant par dérogation la mise à disposition sur le marché et l'utilisation du produit « Campaign® Ant </w:t>
      </w:r>
      <w:proofErr w:type="spellStart"/>
      <w:r w:rsidRPr="004A1CD1">
        <w:rPr>
          <w:rFonts w:ascii="Tenorite" w:hAnsi="Tenorite"/>
        </w:rPr>
        <w:t>Bait</w:t>
      </w:r>
      <w:proofErr w:type="spellEnd"/>
      <w:r w:rsidRPr="004A1CD1">
        <w:rPr>
          <w:rFonts w:ascii="Tenorite" w:hAnsi="Tenorite"/>
        </w:rPr>
        <w:t xml:space="preserve"> », en France, pour une période de 100 jours (JORF 30/09/2025)</w:t>
      </w:r>
    </w:p>
    <w:p w14:paraId="0E3234B9" w14:textId="77777777" w:rsidR="004A1CD1" w:rsidRPr="004A1CD1" w:rsidRDefault="004A1CD1" w:rsidP="00333853">
      <w:pPr>
        <w:pStyle w:val="Textebrut"/>
        <w:ind w:left="142"/>
        <w:jc w:val="both"/>
        <w:rPr>
          <w:rFonts w:ascii="Tenorite" w:hAnsi="Tenorite"/>
        </w:rPr>
      </w:pPr>
    </w:p>
    <w:p w14:paraId="371D467E" w14:textId="77777777" w:rsidR="004A1CD1" w:rsidRPr="004A1CD1" w:rsidRDefault="004A1CD1" w:rsidP="00333853">
      <w:pPr>
        <w:pStyle w:val="Textebrut"/>
        <w:ind w:left="142"/>
        <w:jc w:val="both"/>
        <w:rPr>
          <w:rFonts w:ascii="Tenorite" w:hAnsi="Tenorite"/>
        </w:rPr>
      </w:pPr>
      <w:hyperlink r:id="rId12" w:history="1">
        <w:r w:rsidRPr="004A1CD1">
          <w:rPr>
            <w:rStyle w:val="Lienhypertexte"/>
            <w:rFonts w:ascii="Tenorite" w:hAnsi="Tenorite"/>
            <w:sz w:val="21"/>
            <w:shd w:val="clear" w:color="auto" w:fill="FFFFFF"/>
          </w:rPr>
          <w:t>Décision</w:t>
        </w:r>
      </w:hyperlink>
      <w:r w:rsidRPr="004A1CD1">
        <w:rPr>
          <w:rFonts w:ascii="Tenorite" w:hAnsi="Tenorite"/>
          <w:color w:val="333333"/>
          <w:sz w:val="21"/>
          <w:shd w:val="clear" w:color="auto" w:fill="FFFFFF"/>
        </w:rPr>
        <w:t xml:space="preserve"> d’exécution (UE) 2025/1791 de la Commission du 10 septembre 2025 reportant la date d’expiration de l’approbation de l’imidaclopride en vue de son utilisation dans les produits biocides relevant du type de produits 18, conformément au règlement (UE) no 528/2012 du Parlement européen et du Conseil (JOUE 11/09/2025)</w:t>
      </w:r>
    </w:p>
    <w:p w14:paraId="79262CD5" w14:textId="77777777" w:rsidR="004A1CD1" w:rsidRPr="004A1CD1" w:rsidRDefault="004A1CD1" w:rsidP="00333853">
      <w:pPr>
        <w:pStyle w:val="Textebrut"/>
        <w:ind w:left="142"/>
        <w:jc w:val="both"/>
        <w:rPr>
          <w:rFonts w:ascii="Tenorite" w:hAnsi="Tenorite"/>
        </w:rPr>
      </w:pPr>
    </w:p>
    <w:p w14:paraId="4892D825" w14:textId="77777777" w:rsidR="004A1CD1" w:rsidRPr="004A1CD1" w:rsidRDefault="004A1CD1" w:rsidP="00333853">
      <w:pPr>
        <w:pStyle w:val="Textebrut"/>
        <w:ind w:left="142"/>
        <w:jc w:val="both"/>
        <w:rPr>
          <w:rFonts w:ascii="Tenorite" w:hAnsi="Tenorite"/>
        </w:rPr>
      </w:pPr>
      <w:hyperlink r:id="rId13" w:history="1">
        <w:r w:rsidRPr="004A1CD1">
          <w:rPr>
            <w:rStyle w:val="Lienhypertexte"/>
            <w:rFonts w:ascii="Tenorite" w:hAnsi="Tenorite"/>
          </w:rPr>
          <w:t>Décision</w:t>
        </w:r>
      </w:hyperlink>
      <w:r w:rsidRPr="004A1CD1">
        <w:rPr>
          <w:rFonts w:ascii="Tenorite" w:hAnsi="Tenorite"/>
        </w:rPr>
        <w:t xml:space="preserve"> d’exécution (UE) 2025/1792 de la Commission du 10 septembre 2025 reportant la date d’expiration de l’approbation de l’</w:t>
      </w:r>
      <w:proofErr w:type="spellStart"/>
      <w:r w:rsidRPr="004A1CD1">
        <w:rPr>
          <w:rFonts w:ascii="Tenorite" w:hAnsi="Tenorite"/>
        </w:rPr>
        <w:t>éthyl</w:t>
      </w:r>
      <w:proofErr w:type="spellEnd"/>
      <w:r w:rsidRPr="004A1CD1">
        <w:rPr>
          <w:rFonts w:ascii="Tenorite" w:hAnsi="Tenorite"/>
        </w:rPr>
        <w:t xml:space="preserve"> </w:t>
      </w:r>
      <w:proofErr w:type="spellStart"/>
      <w:r w:rsidRPr="004A1CD1">
        <w:rPr>
          <w:rFonts w:ascii="Tenorite" w:hAnsi="Tenorite"/>
        </w:rPr>
        <w:t>butylacetylaminopropionate</w:t>
      </w:r>
      <w:proofErr w:type="spellEnd"/>
      <w:r w:rsidRPr="004A1CD1">
        <w:rPr>
          <w:rFonts w:ascii="Tenorite" w:hAnsi="Tenorite"/>
        </w:rPr>
        <w:t xml:space="preserve"> en vue de son utilisation dans les produits biocides relevant du type de produits 19, conformément au règlement (UE) no 528/2012 du Parlement européen et du Conseil </w:t>
      </w:r>
      <w:r w:rsidRPr="004A1CD1">
        <w:rPr>
          <w:rFonts w:ascii="Tenorite" w:hAnsi="Tenorite"/>
          <w:color w:val="333333"/>
          <w:sz w:val="21"/>
          <w:shd w:val="clear" w:color="auto" w:fill="FFFFFF"/>
        </w:rPr>
        <w:t>(JOUE 11/09/2025)</w:t>
      </w:r>
    </w:p>
    <w:p w14:paraId="447AEB84" w14:textId="77777777" w:rsidR="004A1CD1" w:rsidRPr="004A1CD1" w:rsidRDefault="004A1CD1" w:rsidP="00333853">
      <w:pPr>
        <w:pStyle w:val="Textebrut"/>
        <w:ind w:left="142"/>
        <w:jc w:val="both"/>
        <w:rPr>
          <w:rFonts w:ascii="Tenorite" w:hAnsi="Tenorite"/>
        </w:rPr>
      </w:pPr>
    </w:p>
    <w:p w14:paraId="3AAA0C42"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hyperlink r:id="rId14" w:history="1">
        <w:r w:rsidRPr="004A1CD1">
          <w:rPr>
            <w:rStyle w:val="Lienhypertexte"/>
            <w:rFonts w:ascii="Tenorite" w:hAnsi="Tenorite"/>
          </w:rPr>
          <w:t>Règlement</w:t>
        </w:r>
      </w:hyperlink>
      <w:r w:rsidRPr="004A1CD1">
        <w:rPr>
          <w:rFonts w:ascii="Tenorite" w:hAnsi="Tenorite"/>
        </w:rPr>
        <w:t xml:space="preserve"> d’exécution (UE) 2025/1803 de la Commission du 11 septembre 2025 annulant l’autorisation de l’Union pour le produit biocide unique </w:t>
      </w:r>
      <w:proofErr w:type="spellStart"/>
      <w:r w:rsidRPr="004A1CD1">
        <w:rPr>
          <w:rFonts w:ascii="Tenorite" w:hAnsi="Tenorite"/>
        </w:rPr>
        <w:t>Nordkalk</w:t>
      </w:r>
      <w:proofErr w:type="spellEnd"/>
      <w:r w:rsidRPr="004A1CD1">
        <w:rPr>
          <w:rFonts w:ascii="Tenorite" w:hAnsi="Tenorite"/>
        </w:rPr>
        <w:t xml:space="preserve"> QL 90 conformément au règlement (UE) no 528/2012 du Parlement européen et du Conseil et abrogeant le règlement d’exécution (UE) 2024/1672 de la Commission (JOUE 12/09/2025)</w:t>
      </w:r>
    </w:p>
    <w:p w14:paraId="28A509A2"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p>
    <w:p w14:paraId="5E6F5488"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hyperlink r:id="rId15" w:history="1">
        <w:r w:rsidRPr="004A1CD1">
          <w:rPr>
            <w:rStyle w:val="Lienhypertexte"/>
            <w:rFonts w:ascii="Tenorite" w:eastAsia="Times New Roman" w:hAnsi="Tenorite" w:cs="Times New Roman"/>
            <w:sz w:val="21"/>
            <w:lang w:eastAsia="fr-FR"/>
          </w:rPr>
          <w:t>Règlement</w:t>
        </w:r>
      </w:hyperlink>
      <w:r w:rsidRPr="004A1CD1">
        <w:rPr>
          <w:rFonts w:ascii="Tenorite" w:eastAsia="Times New Roman" w:hAnsi="Tenorite" w:cs="Times New Roman"/>
          <w:color w:val="636363"/>
          <w:sz w:val="21"/>
          <w:lang w:eastAsia="fr-FR"/>
        </w:rPr>
        <w:t xml:space="preserve"> d’exécution (UE) 2025/1846 de la Commission du 11 septembre 2025 annulant l’autorisation de l’Union pour le produit biocide unique </w:t>
      </w:r>
      <w:proofErr w:type="spellStart"/>
      <w:r w:rsidRPr="004A1CD1">
        <w:rPr>
          <w:rFonts w:ascii="Tenorite" w:eastAsia="Times New Roman" w:hAnsi="Tenorite" w:cs="Times New Roman"/>
          <w:color w:val="636363"/>
          <w:sz w:val="21"/>
          <w:lang w:eastAsia="fr-FR"/>
        </w:rPr>
        <w:t>Nordkalk</w:t>
      </w:r>
      <w:proofErr w:type="spellEnd"/>
      <w:r w:rsidRPr="004A1CD1">
        <w:rPr>
          <w:rFonts w:ascii="Tenorite" w:eastAsia="Times New Roman" w:hAnsi="Tenorite" w:cs="Times New Roman"/>
          <w:color w:val="636363"/>
          <w:sz w:val="21"/>
          <w:lang w:eastAsia="fr-FR"/>
        </w:rPr>
        <w:t xml:space="preserve"> QL 0-0,1 conformément au règlement (UE) no 528/2012 du Parlement européen et du Conseil et abrogeant le règlement d’exécution (UE) 2024/1478 de la Commission </w:t>
      </w:r>
      <w:r w:rsidRPr="004A1CD1">
        <w:rPr>
          <w:rFonts w:ascii="Tenorite" w:hAnsi="Tenorite"/>
        </w:rPr>
        <w:t>(JOUE 12/09/2025)</w:t>
      </w:r>
    </w:p>
    <w:p w14:paraId="700AC696"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p>
    <w:p w14:paraId="687158E2"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hyperlink r:id="rId16" w:history="1">
        <w:r w:rsidRPr="004A1CD1">
          <w:rPr>
            <w:rStyle w:val="Lienhypertexte"/>
            <w:rFonts w:ascii="Tenorite" w:eastAsia="Times New Roman" w:hAnsi="Tenorite" w:cs="Times New Roman"/>
            <w:sz w:val="21"/>
            <w:lang w:eastAsia="fr-FR"/>
          </w:rPr>
          <w:t>Décision</w:t>
        </w:r>
      </w:hyperlink>
      <w:r w:rsidRPr="004A1CD1">
        <w:rPr>
          <w:rFonts w:ascii="Tenorite" w:eastAsia="Times New Roman" w:hAnsi="Tenorite" w:cs="Times New Roman"/>
          <w:color w:val="636363"/>
          <w:sz w:val="21"/>
          <w:lang w:eastAsia="fr-FR"/>
        </w:rPr>
        <w:t xml:space="preserve"> d’exécution (UE) 2025/1778 de la Commission du 11 septembre 2025 reportant la date d’expiration de l’approbation de la </w:t>
      </w:r>
      <w:proofErr w:type="spellStart"/>
      <w:r w:rsidRPr="004A1CD1">
        <w:rPr>
          <w:rFonts w:ascii="Tenorite" w:eastAsia="Times New Roman" w:hAnsi="Tenorite" w:cs="Times New Roman"/>
          <w:color w:val="636363"/>
          <w:sz w:val="21"/>
          <w:lang w:eastAsia="fr-FR"/>
        </w:rPr>
        <w:t>pyrithione</w:t>
      </w:r>
      <w:proofErr w:type="spellEnd"/>
      <w:r w:rsidRPr="004A1CD1">
        <w:rPr>
          <w:rFonts w:ascii="Tenorite" w:eastAsia="Times New Roman" w:hAnsi="Tenorite" w:cs="Times New Roman"/>
          <w:color w:val="636363"/>
          <w:sz w:val="21"/>
          <w:lang w:eastAsia="fr-FR"/>
        </w:rPr>
        <w:t xml:space="preserve"> de cuivre en vue de son utilisation dans les produits biocides relevant du type de produits 21, conformément au règlement (UE) no 528/2012 du Parlement européen et du Conseil </w:t>
      </w:r>
      <w:r w:rsidRPr="004A1CD1">
        <w:rPr>
          <w:rFonts w:ascii="Tenorite" w:hAnsi="Tenorite"/>
        </w:rPr>
        <w:t>(JOUE 12/09/2025)</w:t>
      </w:r>
    </w:p>
    <w:p w14:paraId="5F6BC19F"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p>
    <w:p w14:paraId="43EFE3B4"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hyperlink r:id="rId17" w:history="1">
        <w:r w:rsidRPr="004A1CD1">
          <w:rPr>
            <w:rStyle w:val="Lienhypertexte"/>
            <w:rFonts w:ascii="Tenorite" w:eastAsia="Times New Roman" w:hAnsi="Tenorite" w:cs="Times New Roman"/>
            <w:sz w:val="21"/>
            <w:lang w:eastAsia="fr-FR"/>
          </w:rPr>
          <w:t>Décision</w:t>
        </w:r>
      </w:hyperlink>
      <w:r w:rsidRPr="004A1CD1">
        <w:rPr>
          <w:rFonts w:ascii="Tenorite" w:eastAsia="Times New Roman" w:hAnsi="Tenorite" w:cs="Times New Roman"/>
          <w:color w:val="636363"/>
          <w:sz w:val="21"/>
          <w:lang w:eastAsia="fr-FR"/>
        </w:rPr>
        <w:t xml:space="preserve"> d’exécution (UE) 2025/1779 de la Commission du 11 septembre 2025 reportant la date d’expiration de l’approbation de l’azoxystrobine en vue de son utilisation dans les produits biocides relevant des types de produits 7, 9 et 10, conformément au règlement (UE) no 528/2012 du Parlement européen et du Conseil </w:t>
      </w:r>
      <w:r w:rsidRPr="004A1CD1">
        <w:rPr>
          <w:rFonts w:ascii="Tenorite" w:hAnsi="Tenorite"/>
        </w:rPr>
        <w:t>(JOUE 12/09/2025)</w:t>
      </w:r>
    </w:p>
    <w:p w14:paraId="64FF3C4B"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p>
    <w:p w14:paraId="2EB8E329"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hyperlink r:id="rId18" w:history="1">
        <w:r w:rsidRPr="004A1CD1">
          <w:rPr>
            <w:rStyle w:val="Lienhypertexte"/>
            <w:rFonts w:ascii="Tenorite" w:eastAsia="Times New Roman" w:hAnsi="Tenorite" w:cs="Times New Roman"/>
            <w:sz w:val="21"/>
            <w:lang w:eastAsia="fr-FR"/>
          </w:rPr>
          <w:t>Décision</w:t>
        </w:r>
      </w:hyperlink>
      <w:r w:rsidRPr="004A1CD1">
        <w:rPr>
          <w:rFonts w:ascii="Tenorite" w:eastAsia="Times New Roman" w:hAnsi="Tenorite" w:cs="Times New Roman"/>
          <w:color w:val="636363"/>
          <w:sz w:val="21"/>
          <w:lang w:eastAsia="fr-FR"/>
        </w:rPr>
        <w:t xml:space="preserve"> d’exécution (UE) 2025/1806 de la Commission du 11 septembre 2025 reportant la date d’expiration de l’approbation de la </w:t>
      </w:r>
      <w:proofErr w:type="spellStart"/>
      <w:r w:rsidRPr="004A1CD1">
        <w:rPr>
          <w:rFonts w:ascii="Tenorite" w:eastAsia="Times New Roman" w:hAnsi="Tenorite" w:cs="Times New Roman"/>
          <w:color w:val="636363"/>
          <w:sz w:val="21"/>
          <w:lang w:eastAsia="fr-FR"/>
        </w:rPr>
        <w:t>transfluthrine</w:t>
      </w:r>
      <w:proofErr w:type="spellEnd"/>
      <w:r w:rsidRPr="004A1CD1">
        <w:rPr>
          <w:rFonts w:ascii="Tenorite" w:eastAsia="Times New Roman" w:hAnsi="Tenorite" w:cs="Times New Roman"/>
          <w:color w:val="636363"/>
          <w:sz w:val="21"/>
          <w:lang w:eastAsia="fr-FR"/>
        </w:rPr>
        <w:t xml:space="preserve"> en vue de son utilisation dans les produits biocides relevant du type de produits 18, conformément au règlement (UE) no 528/2012 du Parlement européen et du Conseil </w:t>
      </w:r>
      <w:r w:rsidRPr="004A1CD1">
        <w:rPr>
          <w:rFonts w:ascii="Tenorite" w:hAnsi="Tenorite"/>
        </w:rPr>
        <w:t>(JOUE 12/09/2025)</w:t>
      </w:r>
    </w:p>
    <w:p w14:paraId="05EF748A"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p>
    <w:p w14:paraId="4E56810A"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hyperlink r:id="rId19" w:history="1">
        <w:r w:rsidRPr="004A1CD1">
          <w:rPr>
            <w:rStyle w:val="Lienhypertexte"/>
            <w:rFonts w:ascii="Tenorite" w:eastAsia="Times New Roman" w:hAnsi="Tenorite" w:cs="Times New Roman"/>
            <w:sz w:val="21"/>
            <w:lang w:eastAsia="fr-FR"/>
          </w:rPr>
          <w:t>Décision</w:t>
        </w:r>
      </w:hyperlink>
      <w:r w:rsidRPr="004A1CD1">
        <w:rPr>
          <w:rFonts w:ascii="Tenorite" w:eastAsia="Times New Roman" w:hAnsi="Tenorite" w:cs="Times New Roman"/>
          <w:color w:val="636363"/>
          <w:sz w:val="21"/>
          <w:lang w:eastAsia="fr-FR"/>
        </w:rPr>
        <w:t xml:space="preserve"> d’exécution (UE) 2025/1808 de la Commission du 11 septembre 2025 reportant la date d’expiration de l’approbation de la substance </w:t>
      </w:r>
      <w:proofErr w:type="spellStart"/>
      <w:r w:rsidRPr="004A1CD1">
        <w:rPr>
          <w:rFonts w:ascii="Tenorite" w:eastAsia="Times New Roman" w:hAnsi="Tenorite" w:cs="Times New Roman"/>
          <w:color w:val="636363"/>
          <w:sz w:val="21"/>
          <w:lang w:eastAsia="fr-FR"/>
        </w:rPr>
        <w:t>Pythium</w:t>
      </w:r>
      <w:proofErr w:type="spellEnd"/>
      <w:r w:rsidRPr="004A1CD1">
        <w:rPr>
          <w:rFonts w:ascii="Tenorite" w:eastAsia="Times New Roman" w:hAnsi="Tenorite" w:cs="Times New Roman"/>
          <w:color w:val="636363"/>
          <w:sz w:val="21"/>
          <w:lang w:eastAsia="fr-FR"/>
        </w:rPr>
        <w:t xml:space="preserve"> </w:t>
      </w:r>
      <w:proofErr w:type="spellStart"/>
      <w:r w:rsidRPr="004A1CD1">
        <w:rPr>
          <w:rFonts w:ascii="Tenorite" w:eastAsia="Times New Roman" w:hAnsi="Tenorite" w:cs="Times New Roman"/>
          <w:color w:val="636363"/>
          <w:sz w:val="21"/>
          <w:lang w:eastAsia="fr-FR"/>
        </w:rPr>
        <w:t>oligandrum</w:t>
      </w:r>
      <w:proofErr w:type="spellEnd"/>
      <w:r w:rsidRPr="004A1CD1">
        <w:rPr>
          <w:rFonts w:ascii="Tenorite" w:eastAsia="Times New Roman" w:hAnsi="Tenorite" w:cs="Times New Roman"/>
          <w:color w:val="636363"/>
          <w:sz w:val="21"/>
          <w:lang w:eastAsia="fr-FR"/>
        </w:rPr>
        <w:t xml:space="preserve">, souche M1, en vue de son utilisation dans les produits biocides relevant </w:t>
      </w:r>
      <w:r w:rsidRPr="004A1CD1">
        <w:rPr>
          <w:rFonts w:ascii="Tenorite" w:eastAsia="Times New Roman" w:hAnsi="Tenorite" w:cs="Times New Roman"/>
          <w:color w:val="636363"/>
          <w:sz w:val="21"/>
          <w:lang w:eastAsia="fr-FR"/>
        </w:rPr>
        <w:lastRenderedPageBreak/>
        <w:t xml:space="preserve">du type de produits 10, conformément au règlement (UE) no 528/2012 du Parlement européen et du </w:t>
      </w:r>
      <w:proofErr w:type="gramStart"/>
      <w:r w:rsidRPr="004A1CD1">
        <w:rPr>
          <w:rFonts w:ascii="Tenorite" w:eastAsia="Times New Roman" w:hAnsi="Tenorite" w:cs="Times New Roman"/>
          <w:color w:val="636363"/>
          <w:sz w:val="21"/>
          <w:lang w:eastAsia="fr-FR"/>
        </w:rPr>
        <w:t xml:space="preserve">Conseil  </w:t>
      </w:r>
      <w:r w:rsidRPr="004A1CD1">
        <w:rPr>
          <w:rFonts w:ascii="Tenorite" w:hAnsi="Tenorite"/>
        </w:rPr>
        <w:t>(</w:t>
      </w:r>
      <w:proofErr w:type="gramEnd"/>
      <w:r w:rsidRPr="004A1CD1">
        <w:rPr>
          <w:rFonts w:ascii="Tenorite" w:hAnsi="Tenorite"/>
        </w:rPr>
        <w:t>JOUE 12/09/2025)</w:t>
      </w:r>
    </w:p>
    <w:p w14:paraId="67A12B3B"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p>
    <w:p w14:paraId="2D046507"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hyperlink r:id="rId20" w:history="1">
        <w:r w:rsidRPr="004A1CD1">
          <w:rPr>
            <w:rStyle w:val="Lienhypertexte"/>
            <w:rFonts w:ascii="Tenorite" w:eastAsia="Times New Roman" w:hAnsi="Tenorite" w:cs="Times New Roman"/>
            <w:sz w:val="21"/>
            <w:lang w:eastAsia="fr-FR"/>
          </w:rPr>
          <w:t>Décision</w:t>
        </w:r>
      </w:hyperlink>
      <w:r w:rsidRPr="004A1CD1">
        <w:rPr>
          <w:rFonts w:ascii="Tenorite" w:eastAsia="Times New Roman" w:hAnsi="Tenorite" w:cs="Times New Roman"/>
          <w:color w:val="636363"/>
          <w:sz w:val="21"/>
          <w:lang w:eastAsia="fr-FR"/>
        </w:rPr>
        <w:t xml:space="preserve"> d’exécution (UE) 2025/1809 de la Commission du 11 septembre 2025 reportant la date d’expiration de l’approbation du zinèbe en vue de son utilisation dans les produits biocides relevant du type de produits 21, conformément au règlement (UE) no 528/2012 du Parlement européen et du Conseil (JOUE 12/09/2025)</w:t>
      </w:r>
    </w:p>
    <w:p w14:paraId="1CA49B48"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p>
    <w:p w14:paraId="71E5D58C"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hyperlink r:id="rId21" w:history="1">
        <w:r w:rsidRPr="004A1CD1">
          <w:rPr>
            <w:rStyle w:val="Lienhypertexte"/>
            <w:rFonts w:ascii="Tenorite" w:eastAsia="Times New Roman" w:hAnsi="Tenorite" w:cs="Times New Roman"/>
            <w:sz w:val="21"/>
            <w:lang w:eastAsia="fr-FR"/>
          </w:rPr>
          <w:t>Décision</w:t>
        </w:r>
      </w:hyperlink>
      <w:r w:rsidRPr="004A1CD1">
        <w:rPr>
          <w:rFonts w:ascii="Tenorite" w:eastAsia="Times New Roman" w:hAnsi="Tenorite" w:cs="Times New Roman"/>
          <w:color w:val="636363"/>
          <w:sz w:val="21"/>
          <w:lang w:eastAsia="fr-FR"/>
        </w:rPr>
        <w:t xml:space="preserve"> d’exécution (UE) 2025/1811 de la Commission du 11 septembre 2025 reportant la date d’expiration de l’approbation du 4,5-dichloro-2-octyl-2H-isothiazol-3-one en vue de son utilisation dans les produits biocides relevant des types de produits 8 et 21, conformément au règlement (UE) no 528/2012 du Parlement européen et du Conseil (JOUE 12/09/2025)</w:t>
      </w:r>
    </w:p>
    <w:p w14:paraId="193E4523"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p>
    <w:p w14:paraId="04EF0B23"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hyperlink r:id="rId22" w:history="1">
        <w:r w:rsidRPr="004A1CD1">
          <w:rPr>
            <w:rStyle w:val="Lienhypertexte"/>
            <w:rFonts w:ascii="Tenorite" w:eastAsia="Times New Roman" w:hAnsi="Tenorite" w:cs="Times New Roman"/>
            <w:sz w:val="21"/>
            <w:lang w:eastAsia="fr-FR"/>
          </w:rPr>
          <w:t>Décision</w:t>
        </w:r>
      </w:hyperlink>
      <w:r w:rsidRPr="004A1CD1">
        <w:rPr>
          <w:rFonts w:ascii="Tenorite" w:eastAsia="Times New Roman" w:hAnsi="Tenorite" w:cs="Times New Roman"/>
          <w:color w:val="636363"/>
          <w:sz w:val="21"/>
          <w:lang w:eastAsia="fr-FR"/>
        </w:rPr>
        <w:t xml:space="preserve"> d’exécution (UE) 2025/1814 de la Commission du 11 septembre 2025 reportant la date d’expiration de l’approbation de l’acide laurique en vue de son utilisation dans les produits biocides relevant du type de produits 19, conformément au règlement (UE) no 528/2012 du Parlement européen et du Conseil (JOUE 12/09/2025)</w:t>
      </w:r>
    </w:p>
    <w:p w14:paraId="618AF2C3"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p>
    <w:p w14:paraId="2A9013C2"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hyperlink r:id="rId23" w:history="1">
        <w:r w:rsidRPr="004A1CD1">
          <w:rPr>
            <w:rStyle w:val="Lienhypertexte"/>
            <w:rFonts w:ascii="Tenorite" w:eastAsia="Times New Roman" w:hAnsi="Tenorite" w:cs="Times New Roman"/>
            <w:sz w:val="21"/>
            <w:lang w:eastAsia="fr-FR"/>
          </w:rPr>
          <w:t>Règlement</w:t>
        </w:r>
      </w:hyperlink>
      <w:r w:rsidRPr="004A1CD1">
        <w:rPr>
          <w:rFonts w:ascii="Tenorite" w:eastAsia="Times New Roman" w:hAnsi="Tenorite" w:cs="Times New Roman"/>
          <w:color w:val="636363"/>
          <w:sz w:val="21"/>
          <w:lang w:eastAsia="fr-FR"/>
        </w:rPr>
        <w:t xml:space="preserve"> d’exécution (UE) 2025/1867 de la Commission du 10 septembre 2025 accordant une autorisation de l’Union pour le produit biocide unique dénommé </w:t>
      </w:r>
      <w:proofErr w:type="spellStart"/>
      <w:r w:rsidRPr="004A1CD1">
        <w:rPr>
          <w:rFonts w:ascii="Tenorite" w:eastAsia="Times New Roman" w:hAnsi="Tenorite" w:cs="Times New Roman"/>
          <w:color w:val="636363"/>
          <w:sz w:val="21"/>
          <w:lang w:eastAsia="fr-FR"/>
        </w:rPr>
        <w:t>Sterillium</w:t>
      </w:r>
      <w:proofErr w:type="spellEnd"/>
      <w:r w:rsidRPr="004A1CD1">
        <w:rPr>
          <w:rFonts w:ascii="Tenorite" w:eastAsia="Times New Roman" w:hAnsi="Tenorite" w:cs="Times New Roman"/>
          <w:color w:val="636363"/>
          <w:sz w:val="21"/>
          <w:lang w:eastAsia="fr-FR"/>
        </w:rPr>
        <w:t xml:space="preserve"> </w:t>
      </w:r>
      <w:proofErr w:type="spellStart"/>
      <w:r w:rsidRPr="004A1CD1">
        <w:rPr>
          <w:rFonts w:ascii="Tenorite" w:eastAsia="Times New Roman" w:hAnsi="Tenorite" w:cs="Times New Roman"/>
          <w:color w:val="636363"/>
          <w:sz w:val="21"/>
          <w:lang w:eastAsia="fr-FR"/>
        </w:rPr>
        <w:t>liquid</w:t>
      </w:r>
      <w:proofErr w:type="spellEnd"/>
      <w:r w:rsidRPr="004A1CD1">
        <w:rPr>
          <w:rFonts w:ascii="Tenorite" w:eastAsia="Times New Roman" w:hAnsi="Tenorite" w:cs="Times New Roman"/>
          <w:color w:val="636363"/>
          <w:sz w:val="21"/>
          <w:lang w:eastAsia="fr-FR"/>
        </w:rPr>
        <w:t xml:space="preserve"> conformément au règlement (UE) no 528/2012 du Parlement européen et du Conseil (JOUE 15/09/2025)</w:t>
      </w:r>
    </w:p>
    <w:p w14:paraId="7452C90C"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p>
    <w:p w14:paraId="26F7CDD1"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hyperlink r:id="rId24" w:history="1">
        <w:r w:rsidRPr="004A1CD1">
          <w:rPr>
            <w:rStyle w:val="Lienhypertexte"/>
            <w:rFonts w:ascii="Tenorite" w:eastAsia="Times New Roman" w:hAnsi="Tenorite" w:cs="Times New Roman"/>
            <w:sz w:val="21"/>
            <w:lang w:eastAsia="fr-FR"/>
          </w:rPr>
          <w:t>Décision</w:t>
        </w:r>
      </w:hyperlink>
      <w:r w:rsidRPr="004A1CD1">
        <w:rPr>
          <w:rFonts w:ascii="Tenorite" w:eastAsia="Times New Roman" w:hAnsi="Tenorite" w:cs="Times New Roman"/>
          <w:color w:val="636363"/>
          <w:sz w:val="21"/>
          <w:lang w:eastAsia="fr-FR"/>
        </w:rPr>
        <w:t xml:space="preserve"> d’exécution (UE) 2025/1807 de la Commission du 12 septembre 2025 reportant la date d’expiration de l’approbation du thiocyanate de cuivre en vue de son utilisation dans les produits biocides relevant du type de produits 21, conformément au règlement (UE) no 528/2012 du Parlement européen et du Conseil (JOUE 15/09/2025)</w:t>
      </w:r>
    </w:p>
    <w:p w14:paraId="0B9F9987"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p>
    <w:p w14:paraId="04D19847"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hyperlink r:id="rId25" w:history="1">
        <w:r w:rsidRPr="004A1CD1">
          <w:rPr>
            <w:rStyle w:val="Lienhypertexte"/>
            <w:rFonts w:ascii="Tenorite" w:eastAsia="Times New Roman" w:hAnsi="Tenorite" w:cs="Times New Roman"/>
            <w:sz w:val="21"/>
            <w:lang w:eastAsia="fr-FR"/>
          </w:rPr>
          <w:t>Décision</w:t>
        </w:r>
      </w:hyperlink>
      <w:r w:rsidRPr="004A1CD1">
        <w:rPr>
          <w:rFonts w:ascii="Tenorite" w:eastAsia="Times New Roman" w:hAnsi="Tenorite" w:cs="Times New Roman"/>
          <w:color w:val="636363"/>
          <w:sz w:val="21"/>
          <w:lang w:eastAsia="fr-FR"/>
        </w:rPr>
        <w:t xml:space="preserve"> d’exécution (UE) 2025/1812 de la Commission du 12 septembre 2025 reportant la date d’expiration de l’approbation de l’oxyde de </w:t>
      </w:r>
      <w:proofErr w:type="spellStart"/>
      <w:r w:rsidRPr="004A1CD1">
        <w:rPr>
          <w:rFonts w:ascii="Tenorite" w:eastAsia="Times New Roman" w:hAnsi="Tenorite" w:cs="Times New Roman"/>
          <w:color w:val="636363"/>
          <w:sz w:val="21"/>
          <w:lang w:eastAsia="fr-FR"/>
        </w:rPr>
        <w:t>dicuivre</w:t>
      </w:r>
      <w:proofErr w:type="spellEnd"/>
      <w:r w:rsidRPr="004A1CD1">
        <w:rPr>
          <w:rFonts w:ascii="Tenorite" w:eastAsia="Times New Roman" w:hAnsi="Tenorite" w:cs="Times New Roman"/>
          <w:color w:val="636363"/>
          <w:sz w:val="21"/>
          <w:lang w:eastAsia="fr-FR"/>
        </w:rPr>
        <w:t xml:space="preserve"> en vue de son utilisation dans les produits biocides relevant du type de produits 21, conformément au règlement (UE) no 528/2012 du Parlement européen et du Conseil (JOUE 15/09/2025)</w:t>
      </w:r>
    </w:p>
    <w:p w14:paraId="77CB9329"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p>
    <w:p w14:paraId="51367D83"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hyperlink r:id="rId26" w:history="1">
        <w:r w:rsidRPr="004A1CD1">
          <w:rPr>
            <w:rStyle w:val="Lienhypertexte"/>
            <w:rFonts w:ascii="Tenorite" w:eastAsia="Times New Roman" w:hAnsi="Tenorite" w:cs="Times New Roman"/>
            <w:sz w:val="21"/>
            <w:lang w:eastAsia="fr-FR"/>
          </w:rPr>
          <w:t>Règlement</w:t>
        </w:r>
      </w:hyperlink>
      <w:r w:rsidRPr="004A1CD1">
        <w:rPr>
          <w:rFonts w:ascii="Tenorite" w:eastAsia="Times New Roman" w:hAnsi="Tenorite" w:cs="Times New Roman"/>
          <w:color w:val="636363"/>
          <w:sz w:val="21"/>
          <w:lang w:eastAsia="fr-FR"/>
        </w:rPr>
        <w:t xml:space="preserve"> d’exécution (UE) 2025/1876 de la Commission du 16 septembre 2025 accordant une autorisation de l’Union pour le produit biocide unique dénommé </w:t>
      </w:r>
      <w:proofErr w:type="spellStart"/>
      <w:r w:rsidRPr="004A1CD1">
        <w:rPr>
          <w:rFonts w:ascii="Tenorite" w:eastAsia="Times New Roman" w:hAnsi="Tenorite" w:cs="Times New Roman"/>
          <w:color w:val="636363"/>
          <w:sz w:val="21"/>
          <w:lang w:eastAsia="fr-FR"/>
        </w:rPr>
        <w:t>Septihol</w:t>
      </w:r>
      <w:proofErr w:type="spellEnd"/>
      <w:r w:rsidRPr="004A1CD1">
        <w:rPr>
          <w:rFonts w:ascii="Tenorite" w:eastAsia="Times New Roman" w:hAnsi="Tenorite" w:cs="Times New Roman"/>
          <w:color w:val="636363"/>
          <w:sz w:val="21"/>
          <w:lang w:eastAsia="fr-FR"/>
        </w:rPr>
        <w:t xml:space="preserve"> IPA </w:t>
      </w:r>
      <w:proofErr w:type="spellStart"/>
      <w:r w:rsidRPr="004A1CD1">
        <w:rPr>
          <w:rFonts w:ascii="Tenorite" w:eastAsia="Times New Roman" w:hAnsi="Tenorite" w:cs="Times New Roman"/>
          <w:color w:val="636363"/>
          <w:sz w:val="21"/>
          <w:lang w:eastAsia="fr-FR"/>
        </w:rPr>
        <w:t>products</w:t>
      </w:r>
      <w:proofErr w:type="spellEnd"/>
      <w:r w:rsidRPr="004A1CD1">
        <w:rPr>
          <w:rFonts w:ascii="Tenorite" w:eastAsia="Times New Roman" w:hAnsi="Tenorite" w:cs="Times New Roman"/>
          <w:color w:val="636363"/>
          <w:sz w:val="21"/>
          <w:lang w:eastAsia="fr-FR"/>
        </w:rPr>
        <w:t xml:space="preserve"> conformément au règlement (UE) no 528/2012 du Parlement européen et du Conseil. (JOUE 17/09/2025)</w:t>
      </w:r>
    </w:p>
    <w:p w14:paraId="3279FA3C"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p>
    <w:p w14:paraId="0C819C01"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hyperlink r:id="rId27" w:history="1">
        <w:r w:rsidRPr="004A1CD1">
          <w:rPr>
            <w:rStyle w:val="Lienhypertexte"/>
            <w:rFonts w:ascii="Tenorite" w:eastAsia="Times New Roman" w:hAnsi="Tenorite" w:cs="Times New Roman"/>
            <w:sz w:val="21"/>
            <w:lang w:eastAsia="fr-FR"/>
          </w:rPr>
          <w:t>Règlement</w:t>
        </w:r>
      </w:hyperlink>
      <w:r w:rsidRPr="004A1CD1">
        <w:rPr>
          <w:rFonts w:ascii="Tenorite" w:eastAsia="Times New Roman" w:hAnsi="Tenorite" w:cs="Times New Roman"/>
          <w:color w:val="636363"/>
          <w:sz w:val="21"/>
          <w:lang w:eastAsia="fr-FR"/>
        </w:rPr>
        <w:t xml:space="preserve"> d’exécution (UE) 2025/1878 de la Commission du 16 septembre 2025 accordant une autorisation de l’Union pour la famille de produits biocides dénommée BPF </w:t>
      </w:r>
      <w:proofErr w:type="spellStart"/>
      <w:r w:rsidRPr="004A1CD1">
        <w:rPr>
          <w:rFonts w:ascii="Tenorite" w:eastAsia="Times New Roman" w:hAnsi="Tenorite" w:cs="Times New Roman"/>
          <w:color w:val="636363"/>
          <w:sz w:val="21"/>
          <w:lang w:eastAsia="fr-FR"/>
        </w:rPr>
        <w:t>Propanol</w:t>
      </w:r>
      <w:proofErr w:type="spellEnd"/>
      <w:r w:rsidRPr="004A1CD1">
        <w:rPr>
          <w:rFonts w:ascii="Tenorite" w:eastAsia="Times New Roman" w:hAnsi="Tenorite" w:cs="Times New Roman"/>
          <w:color w:val="636363"/>
          <w:sz w:val="21"/>
          <w:lang w:eastAsia="fr-FR"/>
        </w:rPr>
        <w:t xml:space="preserve"> conformément au règlement (UE) no 528/2012 du Parlement européen et du Conseil (JOUE 17/09/2025)</w:t>
      </w:r>
    </w:p>
    <w:p w14:paraId="634A7B6C"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p>
    <w:p w14:paraId="3B6DCCC1"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hyperlink r:id="rId28" w:history="1">
        <w:r w:rsidRPr="004A1CD1">
          <w:rPr>
            <w:rStyle w:val="Lienhypertexte"/>
            <w:rFonts w:ascii="Tenorite" w:eastAsia="Times New Roman" w:hAnsi="Tenorite" w:cs="Times New Roman"/>
            <w:sz w:val="21"/>
            <w:lang w:eastAsia="fr-FR"/>
          </w:rPr>
          <w:t>Règlement</w:t>
        </w:r>
      </w:hyperlink>
      <w:r w:rsidRPr="004A1CD1">
        <w:rPr>
          <w:rFonts w:ascii="Tenorite" w:eastAsia="Times New Roman" w:hAnsi="Tenorite" w:cs="Times New Roman"/>
          <w:color w:val="636363"/>
          <w:sz w:val="21"/>
          <w:lang w:eastAsia="fr-FR"/>
        </w:rPr>
        <w:t xml:space="preserve"> d’exécution (UE) 2025/1879 de la Commission du 16 septembre 2025 renouvelant l’approbation de l’huile de colza en tant que substance active à faible risque conformément au règlement (CE) no 1107/2009 du Parlement européen et du Conseil, et modifiant le règlement d’exécution (UE) no 540/2011 de la Commission (JOUE 17/09/2025)</w:t>
      </w:r>
    </w:p>
    <w:p w14:paraId="7E54DEE0"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p>
    <w:p w14:paraId="18F7449E"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hyperlink r:id="rId29" w:history="1">
        <w:r w:rsidRPr="004A1CD1">
          <w:rPr>
            <w:rStyle w:val="Lienhypertexte"/>
            <w:rFonts w:ascii="Tenorite" w:eastAsia="Times New Roman" w:hAnsi="Tenorite" w:cs="Times New Roman"/>
            <w:sz w:val="21"/>
            <w:lang w:eastAsia="fr-FR"/>
          </w:rPr>
          <w:t>Décision</w:t>
        </w:r>
      </w:hyperlink>
      <w:r w:rsidRPr="004A1CD1">
        <w:rPr>
          <w:rFonts w:ascii="Tenorite" w:eastAsia="Times New Roman" w:hAnsi="Tenorite" w:cs="Times New Roman"/>
          <w:color w:val="636363"/>
          <w:sz w:val="21"/>
          <w:lang w:eastAsia="fr-FR"/>
        </w:rPr>
        <w:t xml:space="preserve"> d’exécution (UE) 2025/1805 de la Commission du 11 septembre 2025 refusant d’accorder une autorisation de l’Union pour la famille de produits biocides dénommée ODYSSEE ENVIRONNEMENT CMIT/MIT </w:t>
      </w:r>
      <w:proofErr w:type="spellStart"/>
      <w:r w:rsidRPr="004A1CD1">
        <w:rPr>
          <w:rFonts w:ascii="Tenorite" w:eastAsia="Times New Roman" w:hAnsi="Tenorite" w:cs="Times New Roman"/>
          <w:color w:val="636363"/>
          <w:sz w:val="21"/>
          <w:lang w:eastAsia="fr-FR"/>
        </w:rPr>
        <w:t>biocidal</w:t>
      </w:r>
      <w:proofErr w:type="spellEnd"/>
      <w:r w:rsidRPr="004A1CD1">
        <w:rPr>
          <w:rFonts w:ascii="Tenorite" w:eastAsia="Times New Roman" w:hAnsi="Tenorite" w:cs="Times New Roman"/>
          <w:color w:val="636363"/>
          <w:sz w:val="21"/>
          <w:lang w:eastAsia="fr-FR"/>
        </w:rPr>
        <w:t xml:space="preserve"> </w:t>
      </w:r>
      <w:proofErr w:type="spellStart"/>
      <w:r w:rsidRPr="004A1CD1">
        <w:rPr>
          <w:rFonts w:ascii="Tenorite" w:eastAsia="Times New Roman" w:hAnsi="Tenorite" w:cs="Times New Roman"/>
          <w:color w:val="636363"/>
          <w:sz w:val="21"/>
          <w:lang w:eastAsia="fr-FR"/>
        </w:rPr>
        <w:t>product</w:t>
      </w:r>
      <w:proofErr w:type="spellEnd"/>
      <w:r w:rsidRPr="004A1CD1">
        <w:rPr>
          <w:rFonts w:ascii="Tenorite" w:eastAsia="Times New Roman" w:hAnsi="Tenorite" w:cs="Times New Roman"/>
          <w:color w:val="636363"/>
          <w:sz w:val="21"/>
          <w:lang w:eastAsia="fr-FR"/>
        </w:rPr>
        <w:t xml:space="preserve"> </w:t>
      </w:r>
      <w:proofErr w:type="spellStart"/>
      <w:r w:rsidRPr="004A1CD1">
        <w:rPr>
          <w:rFonts w:ascii="Tenorite" w:eastAsia="Times New Roman" w:hAnsi="Tenorite" w:cs="Times New Roman"/>
          <w:color w:val="636363"/>
          <w:sz w:val="21"/>
          <w:lang w:eastAsia="fr-FR"/>
        </w:rPr>
        <w:t>family</w:t>
      </w:r>
      <w:proofErr w:type="spellEnd"/>
      <w:r w:rsidRPr="004A1CD1">
        <w:rPr>
          <w:rFonts w:ascii="Tenorite" w:eastAsia="Times New Roman" w:hAnsi="Tenorite" w:cs="Times New Roman"/>
          <w:color w:val="636363"/>
          <w:sz w:val="21"/>
          <w:lang w:eastAsia="fr-FR"/>
        </w:rPr>
        <w:t xml:space="preserve"> conformément au règlement (UE) no 528/2012 du Parlement européen et du Conseil (JOUE 17/09/2025)</w:t>
      </w:r>
    </w:p>
    <w:p w14:paraId="61102402"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p>
    <w:p w14:paraId="43424CEC"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hyperlink r:id="rId30" w:history="1">
        <w:r w:rsidRPr="004A1CD1">
          <w:rPr>
            <w:rStyle w:val="Lienhypertexte"/>
            <w:rFonts w:ascii="Tenorite" w:eastAsia="Times New Roman" w:hAnsi="Tenorite" w:cs="Times New Roman"/>
            <w:sz w:val="21"/>
            <w:lang w:eastAsia="fr-FR"/>
          </w:rPr>
          <w:t>Décision</w:t>
        </w:r>
      </w:hyperlink>
      <w:r w:rsidRPr="004A1CD1">
        <w:rPr>
          <w:rFonts w:ascii="Tenorite" w:eastAsia="Times New Roman" w:hAnsi="Tenorite" w:cs="Times New Roman"/>
          <w:color w:val="636363"/>
          <w:sz w:val="21"/>
          <w:lang w:eastAsia="fr-FR"/>
        </w:rPr>
        <w:t xml:space="preserve"> d’exécution (UE) 2025/1813 de la Commission du 11 septembre 2025 refusant d’accorder une autorisation de l’Union pour la famille de produits biocides dénommée VEOLIA WATER TECHNOLOGIES CMIT/MIT </w:t>
      </w:r>
      <w:proofErr w:type="spellStart"/>
      <w:r w:rsidRPr="004A1CD1">
        <w:rPr>
          <w:rFonts w:ascii="Tenorite" w:eastAsia="Times New Roman" w:hAnsi="Tenorite" w:cs="Times New Roman"/>
          <w:color w:val="636363"/>
          <w:sz w:val="21"/>
          <w:lang w:eastAsia="fr-FR"/>
        </w:rPr>
        <w:t>biocidal</w:t>
      </w:r>
      <w:proofErr w:type="spellEnd"/>
      <w:r w:rsidRPr="004A1CD1">
        <w:rPr>
          <w:rFonts w:ascii="Tenorite" w:eastAsia="Times New Roman" w:hAnsi="Tenorite" w:cs="Times New Roman"/>
          <w:color w:val="636363"/>
          <w:sz w:val="21"/>
          <w:lang w:eastAsia="fr-FR"/>
        </w:rPr>
        <w:t xml:space="preserve"> </w:t>
      </w:r>
      <w:proofErr w:type="spellStart"/>
      <w:r w:rsidRPr="004A1CD1">
        <w:rPr>
          <w:rFonts w:ascii="Tenorite" w:eastAsia="Times New Roman" w:hAnsi="Tenorite" w:cs="Times New Roman"/>
          <w:color w:val="636363"/>
          <w:sz w:val="21"/>
          <w:lang w:eastAsia="fr-FR"/>
        </w:rPr>
        <w:t>product</w:t>
      </w:r>
      <w:proofErr w:type="spellEnd"/>
      <w:r w:rsidRPr="004A1CD1">
        <w:rPr>
          <w:rFonts w:ascii="Tenorite" w:eastAsia="Times New Roman" w:hAnsi="Tenorite" w:cs="Times New Roman"/>
          <w:color w:val="636363"/>
          <w:sz w:val="21"/>
          <w:lang w:eastAsia="fr-FR"/>
        </w:rPr>
        <w:t xml:space="preserve"> </w:t>
      </w:r>
      <w:proofErr w:type="spellStart"/>
      <w:r w:rsidRPr="004A1CD1">
        <w:rPr>
          <w:rFonts w:ascii="Tenorite" w:eastAsia="Times New Roman" w:hAnsi="Tenorite" w:cs="Times New Roman"/>
          <w:color w:val="636363"/>
          <w:sz w:val="21"/>
          <w:lang w:eastAsia="fr-FR"/>
        </w:rPr>
        <w:t>family</w:t>
      </w:r>
      <w:proofErr w:type="spellEnd"/>
      <w:r w:rsidRPr="004A1CD1">
        <w:rPr>
          <w:rFonts w:ascii="Tenorite" w:eastAsia="Times New Roman" w:hAnsi="Tenorite" w:cs="Times New Roman"/>
          <w:color w:val="636363"/>
          <w:sz w:val="21"/>
          <w:lang w:eastAsia="fr-FR"/>
        </w:rPr>
        <w:t xml:space="preserve"> conformément au règlement (UE) no 528/2012 du Parlement européen et du Conseil (JOUE 17/09/2025)</w:t>
      </w:r>
    </w:p>
    <w:p w14:paraId="1AA3ECF0"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hyperlink r:id="rId31" w:history="1">
        <w:r w:rsidRPr="004A1CD1">
          <w:rPr>
            <w:rStyle w:val="Lienhypertexte"/>
            <w:rFonts w:ascii="Tenorite" w:eastAsia="Times New Roman" w:hAnsi="Tenorite" w:cs="Times New Roman"/>
            <w:sz w:val="21"/>
            <w:lang w:eastAsia="fr-FR"/>
          </w:rPr>
          <w:t>Règlement</w:t>
        </w:r>
      </w:hyperlink>
      <w:r w:rsidRPr="004A1CD1">
        <w:rPr>
          <w:rFonts w:ascii="Tenorite" w:eastAsia="Times New Roman" w:hAnsi="Tenorite" w:cs="Times New Roman"/>
          <w:color w:val="636363"/>
          <w:sz w:val="21"/>
          <w:lang w:eastAsia="fr-FR"/>
        </w:rPr>
        <w:t xml:space="preserve"> d’exécution (UE) 2025/1887 de la Commission du 17 septembre 2025 accordant une autorisation de l’Union pour le produit biocide unique dénommé CLARMARIN® 350 LD conformément au règlement (UE) no 528/2012 du Parlement européen et du Conseil (JOUE 18/09/2025)</w:t>
      </w:r>
    </w:p>
    <w:p w14:paraId="1DC56A1D"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p>
    <w:p w14:paraId="3984937B"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hyperlink r:id="rId32" w:history="1">
        <w:r w:rsidRPr="004A1CD1">
          <w:rPr>
            <w:rStyle w:val="Lienhypertexte"/>
            <w:rFonts w:ascii="Tenorite" w:eastAsia="Times New Roman" w:hAnsi="Tenorite" w:cs="Times New Roman"/>
            <w:sz w:val="21"/>
            <w:lang w:eastAsia="fr-FR"/>
          </w:rPr>
          <w:t>Règlement</w:t>
        </w:r>
      </w:hyperlink>
      <w:r w:rsidRPr="004A1CD1">
        <w:rPr>
          <w:rFonts w:ascii="Tenorite" w:eastAsia="Times New Roman" w:hAnsi="Tenorite" w:cs="Times New Roman"/>
          <w:color w:val="636363"/>
          <w:sz w:val="21"/>
          <w:lang w:eastAsia="fr-FR"/>
        </w:rPr>
        <w:t xml:space="preserve"> d’exécution (UE) 2025/1885 de la Commission du 11 septembre 2025 octroyant une autorisation de l’Union pour la famille de produits biocides dénommée BPF-Propan-2-ol Dr </w:t>
      </w:r>
      <w:proofErr w:type="spellStart"/>
      <w:r w:rsidRPr="004A1CD1">
        <w:rPr>
          <w:rFonts w:ascii="Tenorite" w:eastAsia="Times New Roman" w:hAnsi="Tenorite" w:cs="Times New Roman"/>
          <w:color w:val="636363"/>
          <w:sz w:val="21"/>
          <w:lang w:eastAsia="fr-FR"/>
        </w:rPr>
        <w:t>Deppe</w:t>
      </w:r>
      <w:proofErr w:type="spellEnd"/>
      <w:r w:rsidRPr="004A1CD1">
        <w:rPr>
          <w:rFonts w:ascii="Tenorite" w:eastAsia="Times New Roman" w:hAnsi="Tenorite" w:cs="Times New Roman"/>
          <w:color w:val="636363"/>
          <w:sz w:val="21"/>
          <w:lang w:eastAsia="fr-FR"/>
        </w:rPr>
        <w:t xml:space="preserve"> conformément au règlement (UE) no 528/2012 du Parlement européen et du Conseil (JOUE 18/09/2025)</w:t>
      </w:r>
    </w:p>
    <w:p w14:paraId="2E1AB153"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p>
    <w:p w14:paraId="5111763F"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hyperlink r:id="rId33" w:history="1">
        <w:r w:rsidRPr="004A1CD1">
          <w:rPr>
            <w:rStyle w:val="Lienhypertexte"/>
            <w:rFonts w:ascii="Tenorite" w:eastAsia="Times New Roman" w:hAnsi="Tenorite" w:cs="Times New Roman"/>
            <w:sz w:val="21"/>
            <w:lang w:eastAsia="fr-FR"/>
          </w:rPr>
          <w:t>Règlement</w:t>
        </w:r>
      </w:hyperlink>
      <w:r w:rsidRPr="004A1CD1">
        <w:rPr>
          <w:rFonts w:ascii="Tenorite" w:eastAsia="Times New Roman" w:hAnsi="Tenorite" w:cs="Times New Roman"/>
          <w:color w:val="636363"/>
          <w:sz w:val="21"/>
          <w:lang w:eastAsia="fr-FR"/>
        </w:rPr>
        <w:t xml:space="preserve"> d’exécution (UE) 2025/1800 de la Commission du 10 septembre 2025 modifiant le règlement d’exécution (UE) 2023/753 en ce qui concerne des modifications administratives de l’autorisation de l’Union pour la famille de produits biocides dénommée C(M)IT/MIT formulations (JOUE 19/09/2025)</w:t>
      </w:r>
    </w:p>
    <w:p w14:paraId="25F23876"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p>
    <w:p w14:paraId="586CDE15"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hyperlink r:id="rId34" w:history="1">
        <w:r w:rsidRPr="004A1CD1">
          <w:rPr>
            <w:rStyle w:val="Lienhypertexte"/>
            <w:rFonts w:ascii="Tenorite" w:eastAsia="Times New Roman" w:hAnsi="Tenorite" w:cs="Times New Roman"/>
            <w:sz w:val="21"/>
            <w:lang w:eastAsia="fr-FR"/>
          </w:rPr>
          <w:t>Rectificatif</w:t>
        </w:r>
      </w:hyperlink>
      <w:r w:rsidRPr="004A1CD1">
        <w:rPr>
          <w:rFonts w:ascii="Tenorite" w:eastAsia="Times New Roman" w:hAnsi="Tenorite" w:cs="Times New Roman"/>
          <w:color w:val="636363"/>
          <w:sz w:val="21"/>
          <w:lang w:eastAsia="fr-FR"/>
        </w:rPr>
        <w:t xml:space="preserve"> au règlement délégué (UE) 2024/197 de la Commission du 19 octobre 2023 modifiant le règlement (CE) no 1272/2008 en ce qui concerne la classification et l’étiquetage harmonisés de certaines substances (JOUE 22/09/2025)</w:t>
      </w:r>
    </w:p>
    <w:p w14:paraId="6390B5F3"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p>
    <w:bookmarkStart w:id="0" w:name="_Hlk210774112"/>
    <w:p w14:paraId="41A121D0" w14:textId="77777777" w:rsidR="004A1CD1" w:rsidRPr="004A1CD1" w:rsidRDefault="004A1CD1" w:rsidP="00333853">
      <w:pPr>
        <w:pStyle w:val="Textebrut"/>
        <w:ind w:left="142"/>
        <w:jc w:val="both"/>
        <w:rPr>
          <w:rFonts w:ascii="Tenorite" w:eastAsia="Times New Roman" w:hAnsi="Tenorite" w:cs="Times New Roman"/>
          <w:color w:val="636363"/>
          <w:sz w:val="21"/>
          <w:lang w:eastAsia="fr-FR"/>
        </w:rPr>
      </w:pPr>
      <w:r w:rsidRPr="004A1CD1">
        <w:rPr>
          <w:rFonts w:ascii="Tenorite" w:eastAsia="Times New Roman" w:hAnsi="Tenorite" w:cs="Times New Roman"/>
          <w:color w:val="636363"/>
          <w:sz w:val="21"/>
          <w:lang w:eastAsia="fr-FR"/>
        </w:rPr>
        <w:fldChar w:fldCharType="begin"/>
      </w:r>
      <w:r w:rsidRPr="004A1CD1">
        <w:rPr>
          <w:rFonts w:ascii="Tenorite" w:eastAsia="Times New Roman" w:hAnsi="Tenorite" w:cs="Times New Roman"/>
          <w:color w:val="636363"/>
          <w:sz w:val="21"/>
          <w:lang w:eastAsia="fr-FR"/>
        </w:rPr>
        <w:instrText>HYPERLINK "https://eur-lex.europa.eu/legal-content/FR/TXT/PDF/?uri=OJ:L_202501906"</w:instrText>
      </w:r>
      <w:r w:rsidRPr="004A1CD1">
        <w:rPr>
          <w:rFonts w:ascii="Tenorite" w:eastAsia="Times New Roman" w:hAnsi="Tenorite" w:cs="Times New Roman"/>
          <w:color w:val="636363"/>
          <w:sz w:val="21"/>
          <w:lang w:eastAsia="fr-FR"/>
        </w:rPr>
      </w:r>
      <w:r w:rsidRPr="004A1CD1">
        <w:rPr>
          <w:rFonts w:ascii="Tenorite" w:eastAsia="Times New Roman" w:hAnsi="Tenorite" w:cs="Times New Roman"/>
          <w:color w:val="636363"/>
          <w:sz w:val="21"/>
          <w:lang w:eastAsia="fr-FR"/>
        </w:rPr>
        <w:fldChar w:fldCharType="separate"/>
      </w:r>
      <w:r w:rsidRPr="004A1CD1">
        <w:rPr>
          <w:rStyle w:val="Lienhypertexte"/>
          <w:rFonts w:ascii="Tenorite" w:eastAsia="Times New Roman" w:hAnsi="Tenorite" w:cs="Times New Roman"/>
          <w:sz w:val="21"/>
          <w:lang w:eastAsia="fr-FR"/>
        </w:rPr>
        <w:t>Règlement</w:t>
      </w:r>
      <w:r w:rsidRPr="004A1CD1">
        <w:rPr>
          <w:rFonts w:ascii="Tenorite" w:eastAsia="Times New Roman" w:hAnsi="Tenorite" w:cs="Times New Roman"/>
          <w:color w:val="636363"/>
          <w:sz w:val="21"/>
          <w:lang w:eastAsia="fr-FR"/>
        </w:rPr>
        <w:fldChar w:fldCharType="end"/>
      </w:r>
      <w:bookmarkEnd w:id="0"/>
      <w:r w:rsidRPr="004A1CD1">
        <w:rPr>
          <w:rFonts w:ascii="Tenorite" w:eastAsia="Times New Roman" w:hAnsi="Tenorite" w:cs="Times New Roman"/>
          <w:color w:val="636363"/>
          <w:sz w:val="21"/>
          <w:lang w:eastAsia="fr-FR"/>
        </w:rPr>
        <w:t xml:space="preserve"> d’exécution (UE) 2025/1906 de la Commission du 12 septembre 2025 accordant une autorisation de l’Union pour la famille de produits biocides dénommée GA 24-50 BPF conformément au règlement (UE) no 528/2012 du Parlement européen et du Conseil (JOUE 30/09/2025)</w:t>
      </w:r>
    </w:p>
    <w:p w14:paraId="1F19E875" w14:textId="77777777" w:rsidR="002B7CB6" w:rsidRPr="005F3EA3" w:rsidRDefault="002B7CB6" w:rsidP="002B7CB6">
      <w:pPr>
        <w:spacing w:after="0" w:line="240" w:lineRule="auto"/>
        <w:ind w:left="284" w:hanging="142"/>
        <w:rPr>
          <w:rFonts w:ascii="Tenorite" w:eastAsia="MS Gothic" w:hAnsi="Tenorite" w:cs="Segoe UI Symbol"/>
          <w:b/>
          <w:sz w:val="28"/>
        </w:rPr>
      </w:pPr>
    </w:p>
    <w:p w14:paraId="3FF793B7" w14:textId="77777777" w:rsidR="002B7CB6" w:rsidRPr="005F3EA3" w:rsidRDefault="00767DBA"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SUBSTANCES CHIMIQUES ET CONTAMINANTS</w:t>
      </w:r>
    </w:p>
    <w:p w14:paraId="637292FC" w14:textId="77777777" w:rsidR="00702CC0" w:rsidRDefault="00702CC0" w:rsidP="007611C3">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Médicaments vétérinaires</w:t>
      </w:r>
    </w:p>
    <w:p w14:paraId="31C9731C" w14:textId="77777777" w:rsidR="004A1CD1" w:rsidRPr="007611C3" w:rsidRDefault="004A1CD1" w:rsidP="007611C3">
      <w:pPr>
        <w:shd w:val="clear" w:color="auto" w:fill="FFFFFF"/>
        <w:spacing w:after="0" w:line="240" w:lineRule="auto"/>
        <w:ind w:left="142"/>
        <w:jc w:val="both"/>
        <w:rPr>
          <w:rFonts w:ascii="Tenorite" w:hAnsi="Tenorite"/>
        </w:rPr>
      </w:pPr>
      <w:hyperlink r:id="rId35" w:history="1">
        <w:r w:rsidRPr="007611C3">
          <w:rPr>
            <w:rStyle w:val="Lienhypertexte"/>
            <w:rFonts w:ascii="Tenorite" w:hAnsi="Tenorite"/>
          </w:rPr>
          <w:t>Règlement</w:t>
        </w:r>
      </w:hyperlink>
      <w:r w:rsidRPr="007611C3">
        <w:rPr>
          <w:rFonts w:ascii="Tenorite" w:hAnsi="Tenorite"/>
        </w:rPr>
        <w:t xml:space="preserve"> d’exécution (UE) 2025/1908 de la Commission du 24 septembre 2025 modifiant le règlement (UE) no 37/2010 en ce qui concerne la classification de la substance </w:t>
      </w:r>
      <w:proofErr w:type="spellStart"/>
      <w:r w:rsidRPr="007611C3">
        <w:rPr>
          <w:rFonts w:ascii="Tenorite" w:hAnsi="Tenorite"/>
        </w:rPr>
        <w:t>fluralaner</w:t>
      </w:r>
      <w:proofErr w:type="spellEnd"/>
      <w:r w:rsidRPr="007611C3">
        <w:rPr>
          <w:rFonts w:ascii="Tenorite" w:hAnsi="Tenorite"/>
        </w:rPr>
        <w:t xml:space="preserve"> et sa limite maximale de résidus dans les aliments d’origine animale (JOUE 25/09/2025)</w:t>
      </w:r>
    </w:p>
    <w:p w14:paraId="1D4B3BEF" w14:textId="77777777" w:rsidR="00702CC0" w:rsidRPr="007611C3" w:rsidRDefault="00702CC0" w:rsidP="007611C3">
      <w:pPr>
        <w:spacing w:after="0" w:line="240" w:lineRule="auto"/>
        <w:ind w:left="142" w:hanging="142"/>
        <w:jc w:val="both"/>
        <w:rPr>
          <w:rFonts w:ascii="Tenorite" w:hAnsi="Tenorite"/>
          <w:color w:val="C45911" w:themeColor="accent2" w:themeShade="BF"/>
          <w:sz w:val="20"/>
        </w:rPr>
      </w:pPr>
    </w:p>
    <w:p w14:paraId="49718658" w14:textId="77777777" w:rsidR="00702CC0" w:rsidRDefault="00702CC0" w:rsidP="007611C3">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Métaux lourds</w:t>
      </w:r>
    </w:p>
    <w:bookmarkStart w:id="1" w:name="_Hlk210773305"/>
    <w:p w14:paraId="425B9B8A" w14:textId="77777777" w:rsidR="004A1CD1" w:rsidRDefault="004A1CD1" w:rsidP="007611C3">
      <w:pPr>
        <w:shd w:val="clear" w:color="auto" w:fill="FFFFFF"/>
        <w:spacing w:after="0" w:line="240" w:lineRule="auto"/>
        <w:ind w:left="142"/>
        <w:jc w:val="both"/>
        <w:rPr>
          <w:rFonts w:ascii="Tenorite" w:hAnsi="Tenorite"/>
        </w:rPr>
      </w:pPr>
      <w:r w:rsidRPr="007611C3">
        <w:rPr>
          <w:rFonts w:ascii="Tenorite" w:hAnsi="Tenorite"/>
        </w:rPr>
        <w:fldChar w:fldCharType="begin"/>
      </w:r>
      <w:r w:rsidRPr="007611C3">
        <w:rPr>
          <w:rFonts w:ascii="Tenorite" w:hAnsi="Tenorite"/>
        </w:rPr>
        <w:instrText>HYPERLINK "https://eur-lex.europa.eu/legal-content/FR/TXT/PDF/?uri=OJ:L_202501891"</w:instrText>
      </w:r>
      <w:r w:rsidRPr="007611C3">
        <w:rPr>
          <w:rFonts w:ascii="Tenorite" w:hAnsi="Tenorite"/>
        </w:rPr>
      </w:r>
      <w:r w:rsidRPr="007611C3">
        <w:rPr>
          <w:rFonts w:ascii="Tenorite" w:hAnsi="Tenorite"/>
        </w:rPr>
        <w:fldChar w:fldCharType="separate"/>
      </w:r>
      <w:r w:rsidRPr="007611C3">
        <w:rPr>
          <w:rStyle w:val="Lienhypertexte"/>
          <w:rFonts w:ascii="Tenorite" w:hAnsi="Tenorite"/>
        </w:rPr>
        <w:t>Règlement</w:t>
      </w:r>
      <w:r w:rsidRPr="007611C3">
        <w:rPr>
          <w:rFonts w:ascii="Tenorite" w:hAnsi="Tenorite"/>
        </w:rPr>
        <w:fldChar w:fldCharType="end"/>
      </w:r>
      <w:bookmarkEnd w:id="1"/>
      <w:r w:rsidRPr="007611C3">
        <w:rPr>
          <w:rFonts w:ascii="Tenorite" w:hAnsi="Tenorite"/>
        </w:rPr>
        <w:t xml:space="preserve"> (UE) 2025/1891 de la Commission du 17 septembre 2025 modifiant le règlement (UE) 2023/915 en ce qui concerne les teneurs maximales en arsenic inorganique dans les poissons et autres produits de la mer (JOUE 18/09/2025)</w:t>
      </w:r>
    </w:p>
    <w:p w14:paraId="73DD8A67" w14:textId="77777777" w:rsidR="00333853" w:rsidRPr="007611C3" w:rsidRDefault="00333853" w:rsidP="007611C3">
      <w:pPr>
        <w:shd w:val="clear" w:color="auto" w:fill="FFFFFF"/>
        <w:spacing w:after="0" w:line="240" w:lineRule="auto"/>
        <w:ind w:left="142"/>
        <w:jc w:val="both"/>
        <w:rPr>
          <w:rFonts w:ascii="Tenorite" w:hAnsi="Tenorite"/>
        </w:rPr>
      </w:pPr>
    </w:p>
    <w:p w14:paraId="590E0D91" w14:textId="77777777" w:rsidR="004A1CD1" w:rsidRPr="007611C3" w:rsidRDefault="004A1CD1" w:rsidP="007611C3">
      <w:pPr>
        <w:shd w:val="clear" w:color="auto" w:fill="FFFFFF"/>
        <w:spacing w:after="0" w:line="240" w:lineRule="auto"/>
        <w:ind w:left="142"/>
        <w:jc w:val="both"/>
        <w:rPr>
          <w:rFonts w:ascii="Tenorite" w:hAnsi="Tenorite"/>
        </w:rPr>
      </w:pPr>
      <w:hyperlink r:id="rId36" w:history="1">
        <w:r w:rsidRPr="007611C3">
          <w:rPr>
            <w:rStyle w:val="Lienhypertexte"/>
            <w:rFonts w:ascii="Tenorite" w:hAnsi="Tenorite"/>
          </w:rPr>
          <w:t>Rectificatif</w:t>
        </w:r>
      </w:hyperlink>
      <w:r w:rsidRPr="007611C3">
        <w:rPr>
          <w:rFonts w:ascii="Tenorite" w:hAnsi="Tenorite"/>
        </w:rPr>
        <w:t xml:space="preserve"> au règlement (UE) 2024/1987 de la Commission du 30 juillet 2024 modifiant le règlement (UE) 2023/915 en ce qui concerne les teneurs maximales en nickel de certaines denrées alimentaires (JOUE 22/09/2025)</w:t>
      </w:r>
    </w:p>
    <w:p w14:paraId="4471D899" w14:textId="77777777" w:rsidR="00702CC0" w:rsidRDefault="00702CC0" w:rsidP="007611C3">
      <w:pPr>
        <w:spacing w:after="0" w:line="240" w:lineRule="auto"/>
        <w:ind w:left="284" w:hanging="142"/>
        <w:rPr>
          <w:rFonts w:ascii="Tenorite" w:hAnsi="Tenorite"/>
          <w:color w:val="C45911" w:themeColor="accent2" w:themeShade="BF"/>
          <w:sz w:val="20"/>
        </w:rPr>
      </w:pPr>
    </w:p>
    <w:p w14:paraId="284CCFF5"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ETIQUETAGE </w:t>
      </w:r>
      <w:r w:rsidR="00767DBA">
        <w:rPr>
          <w:rFonts w:ascii="Tenorite" w:hAnsi="Tenorite"/>
          <w:b/>
          <w:color w:val="833C0B" w:themeColor="accent2" w:themeShade="80"/>
          <w:sz w:val="24"/>
        </w:rPr>
        <w:t>ET PRESENTATION DES PRODUITS</w:t>
      </w:r>
    </w:p>
    <w:p w14:paraId="4EE31875" w14:textId="221AD5D8" w:rsidR="00767DBA" w:rsidRPr="005F3EA3" w:rsidRDefault="007611C3" w:rsidP="00702CC0">
      <w:pPr>
        <w:spacing w:after="0" w:line="240" w:lineRule="auto"/>
        <w:ind w:left="142"/>
        <w:rPr>
          <w:rFonts w:ascii="Tenorite" w:hAnsi="Tenorite"/>
          <w:color w:val="C45911" w:themeColor="accent2" w:themeShade="BF"/>
          <w:sz w:val="20"/>
        </w:rPr>
      </w:pPr>
      <w:r>
        <w:rPr>
          <w:rFonts w:ascii="Tenorite" w:hAnsi="Tenorite"/>
          <w:color w:val="C45911" w:themeColor="accent2" w:themeShade="BF"/>
          <w:sz w:val="20"/>
        </w:rPr>
        <w:t>/</w:t>
      </w:r>
    </w:p>
    <w:p w14:paraId="792E2D12" w14:textId="77777777" w:rsidR="002F17D1" w:rsidRPr="005F3EA3" w:rsidRDefault="002F17D1" w:rsidP="002F17D1">
      <w:pPr>
        <w:spacing w:after="0" w:line="240" w:lineRule="auto"/>
        <w:ind w:left="142"/>
        <w:rPr>
          <w:rFonts w:ascii="Tenorite" w:hAnsi="Tenorite"/>
          <w:color w:val="C45911" w:themeColor="accent2" w:themeShade="BF"/>
          <w:sz w:val="20"/>
        </w:rPr>
      </w:pPr>
    </w:p>
    <w:p w14:paraId="7B84134E"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HYGIENE ET SECURITE DES ALIMENTS </w:t>
      </w:r>
    </w:p>
    <w:p w14:paraId="4A56B8F9" w14:textId="370E8A9A" w:rsidR="00767DBA" w:rsidRDefault="00767DBA" w:rsidP="007611C3">
      <w:pPr>
        <w:spacing w:after="0" w:line="240" w:lineRule="auto"/>
        <w:ind w:left="284" w:hanging="142"/>
        <w:rPr>
          <w:rFonts w:ascii="Tenorite" w:hAnsi="Tenorite"/>
          <w:color w:val="C45911" w:themeColor="accent2" w:themeShade="BF"/>
          <w:sz w:val="20"/>
        </w:rPr>
      </w:pPr>
      <w:proofErr w:type="spellStart"/>
      <w:r>
        <w:rPr>
          <w:rFonts w:ascii="Tenorite" w:hAnsi="Tenorite"/>
          <w:color w:val="C45911" w:themeColor="accent2" w:themeShade="BF"/>
          <w:sz w:val="20"/>
        </w:rPr>
        <w:t>BuSCA</w:t>
      </w:r>
      <w:proofErr w:type="spellEnd"/>
    </w:p>
    <w:p w14:paraId="1EC8C666" w14:textId="7A8A7D5B" w:rsidR="004A1CD1" w:rsidRPr="007611C3" w:rsidRDefault="004A1CD1" w:rsidP="007611C3">
      <w:pPr>
        <w:adjustRightInd w:val="0"/>
        <w:spacing w:after="0" w:line="240" w:lineRule="auto"/>
        <w:ind w:left="142"/>
        <w:jc w:val="both"/>
        <w:rPr>
          <w:rFonts w:ascii="Tenorite" w:hAnsi="Tenorite"/>
        </w:rPr>
      </w:pPr>
      <w:hyperlink r:id="rId37" w:history="1">
        <w:proofErr w:type="spellStart"/>
        <w:r w:rsidRPr="007611C3">
          <w:rPr>
            <w:rStyle w:val="Lienhypertexte"/>
            <w:rFonts w:ascii="Tenorite" w:hAnsi="Tenorite"/>
          </w:rPr>
          <w:t>BuSCA</w:t>
        </w:r>
        <w:proofErr w:type="spellEnd"/>
        <w:r w:rsidRPr="007611C3">
          <w:rPr>
            <w:rStyle w:val="Lienhypertexte"/>
            <w:rFonts w:ascii="Tenorite" w:hAnsi="Tenorite"/>
          </w:rPr>
          <w:t xml:space="preserve"> n°139</w:t>
        </w:r>
      </w:hyperlink>
      <w:r w:rsidRPr="007611C3">
        <w:rPr>
          <w:rFonts w:ascii="Tenorite" w:hAnsi="Tenorite"/>
        </w:rPr>
        <w:t>– 05 septembre 2025, Plateforme de surveillance de la chaîne alimentaire</w:t>
      </w:r>
      <w:r w:rsidRPr="007611C3">
        <w:rPr>
          <w:rFonts w:ascii="Tenorite" w:hAnsi="Tenorite"/>
        </w:rPr>
        <w:br/>
      </w:r>
      <w:hyperlink r:id="rId38" w:history="1">
        <w:proofErr w:type="spellStart"/>
        <w:r w:rsidRPr="007611C3">
          <w:rPr>
            <w:rStyle w:val="Lienhypertexte"/>
            <w:rFonts w:ascii="Tenorite" w:hAnsi="Tenorite"/>
          </w:rPr>
          <w:t>BuSCA</w:t>
        </w:r>
        <w:proofErr w:type="spellEnd"/>
        <w:r w:rsidRPr="007611C3">
          <w:rPr>
            <w:rStyle w:val="Lienhypertexte"/>
            <w:rFonts w:ascii="Tenorite" w:hAnsi="Tenorite"/>
          </w:rPr>
          <w:t xml:space="preserve"> n°140</w:t>
        </w:r>
      </w:hyperlink>
      <w:r w:rsidRPr="007611C3">
        <w:rPr>
          <w:rFonts w:ascii="Tenorite" w:hAnsi="Tenorite"/>
        </w:rPr>
        <w:t>- 18 septembre 2025, Plateforme de surveillance de la chaîne alimentaire</w:t>
      </w:r>
    </w:p>
    <w:p w14:paraId="176FF4B9" w14:textId="2BDF3EAB" w:rsidR="004A1CD1" w:rsidRPr="007611C3" w:rsidRDefault="004A1CD1" w:rsidP="007611C3">
      <w:pPr>
        <w:adjustRightInd w:val="0"/>
        <w:spacing w:after="0" w:line="240" w:lineRule="auto"/>
        <w:ind w:left="142"/>
        <w:jc w:val="both"/>
        <w:rPr>
          <w:rFonts w:ascii="Tenorite" w:hAnsi="Tenorite"/>
        </w:rPr>
      </w:pPr>
      <w:hyperlink r:id="rId39" w:history="1">
        <w:proofErr w:type="spellStart"/>
        <w:r w:rsidRPr="007611C3">
          <w:rPr>
            <w:rStyle w:val="Lienhypertexte"/>
            <w:rFonts w:ascii="Tenorite" w:hAnsi="Tenorite"/>
          </w:rPr>
          <w:t>BuSCA</w:t>
        </w:r>
        <w:proofErr w:type="spellEnd"/>
        <w:r w:rsidRPr="007611C3">
          <w:rPr>
            <w:rStyle w:val="Lienhypertexte"/>
            <w:rFonts w:ascii="Tenorite" w:hAnsi="Tenorite"/>
          </w:rPr>
          <w:t xml:space="preserve"> n°141</w:t>
        </w:r>
      </w:hyperlink>
      <w:r w:rsidRPr="007611C3">
        <w:rPr>
          <w:rFonts w:ascii="Tenorite" w:hAnsi="Tenorite"/>
        </w:rPr>
        <w:t>- 02 octobre 2025, Plateforme de surveillance de la chaîne alimentaire</w:t>
      </w:r>
    </w:p>
    <w:p w14:paraId="197D4FC7" w14:textId="77777777" w:rsidR="00702CC0" w:rsidRDefault="00702CC0" w:rsidP="007611C3">
      <w:pPr>
        <w:spacing w:after="0" w:line="240" w:lineRule="auto"/>
        <w:ind w:left="284" w:hanging="142"/>
        <w:rPr>
          <w:rFonts w:ascii="Tenorite" w:hAnsi="Tenorite"/>
          <w:color w:val="C45911" w:themeColor="accent2" w:themeShade="BF"/>
          <w:sz w:val="20"/>
        </w:rPr>
      </w:pPr>
    </w:p>
    <w:p w14:paraId="39B52E5C" w14:textId="77777777" w:rsidR="00702CC0" w:rsidRDefault="00702CC0" w:rsidP="007611C3">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Contrôles officiels</w:t>
      </w:r>
    </w:p>
    <w:p w14:paraId="49F655CA" w14:textId="77777777" w:rsidR="004A1CD1" w:rsidRPr="007611C3" w:rsidRDefault="004A1CD1" w:rsidP="007611C3">
      <w:pPr>
        <w:shd w:val="clear" w:color="auto" w:fill="FFFFFF"/>
        <w:spacing w:after="0" w:line="240" w:lineRule="auto"/>
        <w:ind w:left="142"/>
        <w:jc w:val="both"/>
        <w:rPr>
          <w:rFonts w:ascii="Tenorite" w:eastAsia="Times New Roman" w:hAnsi="Tenorite" w:cs="Times New Roman"/>
          <w:color w:val="636363"/>
          <w:sz w:val="21"/>
          <w:szCs w:val="21"/>
          <w:lang w:eastAsia="fr-FR"/>
        </w:rPr>
      </w:pPr>
      <w:hyperlink r:id="rId40" w:history="1">
        <w:r w:rsidRPr="007611C3">
          <w:rPr>
            <w:rStyle w:val="Lienhypertexte"/>
            <w:rFonts w:ascii="Tenorite" w:eastAsia="Times New Roman" w:hAnsi="Tenorite" w:cs="Times New Roman"/>
            <w:sz w:val="21"/>
            <w:szCs w:val="21"/>
            <w:lang w:eastAsia="fr-FR"/>
          </w:rPr>
          <w:t>Décision</w:t>
        </w:r>
      </w:hyperlink>
      <w:r w:rsidRPr="007611C3">
        <w:rPr>
          <w:rFonts w:ascii="Tenorite" w:eastAsia="Times New Roman" w:hAnsi="Tenorite" w:cs="Times New Roman"/>
          <w:color w:val="636363"/>
          <w:sz w:val="21"/>
          <w:szCs w:val="21"/>
          <w:lang w:eastAsia="fr-FR"/>
        </w:rPr>
        <w:t xml:space="preserve"> d’exécution (UE) 2025/1900 de la Commission du 22 septembre 2025 établissant le programme annuel pour 2026 des contrôles que doivent effectuer les experts de la Commission dans les États membres pour vérifier l’application de la législation de l’Union sur la chaîne agroalimentaire (JOUE 23/09/2025)</w:t>
      </w:r>
    </w:p>
    <w:p w14:paraId="4B38DC01" w14:textId="77777777" w:rsidR="00702CC0" w:rsidRDefault="00702CC0" w:rsidP="007611C3">
      <w:pPr>
        <w:spacing w:after="0" w:line="240" w:lineRule="auto"/>
        <w:ind w:left="284" w:hanging="142"/>
        <w:rPr>
          <w:rFonts w:ascii="Tenorite" w:hAnsi="Tenorite"/>
          <w:color w:val="C45911" w:themeColor="accent2" w:themeShade="BF"/>
          <w:sz w:val="20"/>
        </w:rPr>
      </w:pPr>
    </w:p>
    <w:p w14:paraId="4DE1E91A" w14:textId="16E2291B" w:rsidR="00702CC0" w:rsidRDefault="00702CC0" w:rsidP="007611C3">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Fraudes (non exhaustif)</w:t>
      </w:r>
    </w:p>
    <w:p w14:paraId="4726C4FD" w14:textId="77777777" w:rsidR="004A1CD1" w:rsidRPr="007611C3" w:rsidRDefault="004A1CD1" w:rsidP="007611C3">
      <w:pPr>
        <w:adjustRightInd w:val="0"/>
        <w:spacing w:after="0" w:line="240" w:lineRule="auto"/>
        <w:ind w:left="142"/>
        <w:jc w:val="both"/>
        <w:rPr>
          <w:rFonts w:ascii="Tenorite" w:eastAsia="Times New Roman" w:hAnsi="Tenorite" w:cs="Times New Roman"/>
          <w:color w:val="636363"/>
          <w:sz w:val="21"/>
          <w:szCs w:val="21"/>
          <w:lang w:eastAsia="fr-FR"/>
        </w:rPr>
      </w:pPr>
      <w:r w:rsidRPr="007611C3">
        <w:rPr>
          <w:rFonts w:ascii="Tenorite" w:hAnsi="Tenorite"/>
        </w:rPr>
        <w:t xml:space="preserve">Newsletter </w:t>
      </w:r>
      <w:hyperlink r:id="rId41" w:history="1">
        <w:proofErr w:type="gramStart"/>
        <w:r w:rsidRPr="007611C3">
          <w:rPr>
            <w:rStyle w:val="Lienhypertexte"/>
            <w:rFonts w:ascii="Tenorite" w:hAnsi="Tenorite"/>
          </w:rPr>
          <w:t>Août</w:t>
        </w:r>
        <w:proofErr w:type="gramEnd"/>
        <w:r w:rsidRPr="007611C3">
          <w:rPr>
            <w:rStyle w:val="Lienhypertexte"/>
            <w:rFonts w:ascii="Tenorite" w:hAnsi="Tenorite"/>
          </w:rPr>
          <w:t xml:space="preserve"> 2025</w:t>
        </w:r>
      </w:hyperlink>
      <w:r w:rsidRPr="007611C3">
        <w:rPr>
          <w:rFonts w:ascii="Tenorite" w:hAnsi="Tenorite"/>
        </w:rPr>
        <w:t>, Fraudes alimentaires, Commission européenne</w:t>
      </w:r>
    </w:p>
    <w:p w14:paraId="72502258" w14:textId="77777777" w:rsidR="00702CC0" w:rsidRDefault="00702CC0" w:rsidP="007611C3">
      <w:pPr>
        <w:spacing w:after="0" w:line="240" w:lineRule="auto"/>
        <w:ind w:left="284" w:hanging="142"/>
        <w:rPr>
          <w:rFonts w:ascii="Tenorite" w:hAnsi="Tenorite"/>
          <w:color w:val="C45911" w:themeColor="accent2" w:themeShade="BF"/>
          <w:sz w:val="20"/>
        </w:rPr>
      </w:pPr>
    </w:p>
    <w:p w14:paraId="64F67994" w14:textId="77777777" w:rsidR="00702CC0" w:rsidRDefault="00702CC0" w:rsidP="001B42BB">
      <w:pPr>
        <w:spacing w:after="0" w:line="240" w:lineRule="auto"/>
        <w:ind w:left="284" w:hanging="142"/>
        <w:rPr>
          <w:rFonts w:ascii="Tenorite" w:hAnsi="Tenorite"/>
          <w:color w:val="C45911" w:themeColor="accent2" w:themeShade="BF"/>
          <w:sz w:val="20"/>
        </w:rPr>
      </w:pPr>
    </w:p>
    <w:p w14:paraId="2FB9D90C" w14:textId="77777777" w:rsidR="00333853" w:rsidRPr="005F3EA3" w:rsidRDefault="00333853" w:rsidP="001B42BB">
      <w:pPr>
        <w:spacing w:after="0" w:line="240" w:lineRule="auto"/>
        <w:ind w:left="284" w:hanging="142"/>
        <w:rPr>
          <w:rFonts w:ascii="Tenorite" w:hAnsi="Tenorite"/>
          <w:color w:val="C45911" w:themeColor="accent2" w:themeShade="BF"/>
          <w:sz w:val="20"/>
        </w:rPr>
      </w:pPr>
    </w:p>
    <w:p w14:paraId="30712E31"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MARCHES (importation, modalités de commercialisation</w:t>
      </w:r>
      <w:r w:rsidR="00767DBA">
        <w:rPr>
          <w:rFonts w:ascii="Tenorite" w:hAnsi="Tenorite"/>
          <w:b/>
          <w:color w:val="833C0B" w:themeColor="accent2" w:themeShade="80"/>
          <w:sz w:val="24"/>
        </w:rPr>
        <w:t>, exportation</w:t>
      </w:r>
      <w:r w:rsidRPr="005F3EA3">
        <w:rPr>
          <w:rFonts w:ascii="Tenorite" w:hAnsi="Tenorite"/>
          <w:b/>
          <w:color w:val="833C0B" w:themeColor="accent2" w:themeShade="80"/>
          <w:sz w:val="24"/>
        </w:rPr>
        <w:t>)</w:t>
      </w:r>
    </w:p>
    <w:p w14:paraId="2070C637" w14:textId="53B368F9" w:rsidR="00702CC0" w:rsidRDefault="00936270" w:rsidP="008B535C">
      <w:pPr>
        <w:spacing w:after="0" w:line="240" w:lineRule="auto"/>
        <w:ind w:left="284" w:hanging="142"/>
        <w:jc w:val="both"/>
        <w:rPr>
          <w:rFonts w:ascii="Tenorite" w:hAnsi="Tenorite"/>
          <w:color w:val="C45911" w:themeColor="accent2" w:themeShade="BF"/>
          <w:sz w:val="20"/>
        </w:rPr>
      </w:pPr>
      <w:r>
        <w:rPr>
          <w:rFonts w:ascii="Tenorite" w:hAnsi="Tenorite"/>
          <w:color w:val="C45911" w:themeColor="accent2" w:themeShade="BF"/>
          <w:sz w:val="20"/>
        </w:rPr>
        <w:t>Importation</w:t>
      </w:r>
    </w:p>
    <w:p w14:paraId="42131D3F" w14:textId="77777777" w:rsidR="00936270" w:rsidRDefault="00936270" w:rsidP="00936270">
      <w:pPr>
        <w:shd w:val="clear" w:color="auto" w:fill="FFFFFF"/>
        <w:spacing w:after="0" w:line="240" w:lineRule="auto"/>
        <w:ind w:left="142"/>
        <w:jc w:val="both"/>
        <w:rPr>
          <w:rFonts w:ascii="Tenorite" w:eastAsia="Times New Roman" w:hAnsi="Tenorite" w:cs="Times New Roman"/>
          <w:color w:val="636363"/>
          <w:lang w:eastAsia="fr-FR"/>
        </w:rPr>
      </w:pPr>
      <w:hyperlink r:id="rId42" w:history="1">
        <w:r w:rsidRPr="00936270">
          <w:rPr>
            <w:rStyle w:val="Lienhypertexte"/>
            <w:rFonts w:ascii="Tenorite" w:eastAsia="Times New Roman" w:hAnsi="Tenorite" w:cs="Times New Roman"/>
            <w:lang w:eastAsia="fr-FR"/>
          </w:rPr>
          <w:t>Règlement</w:t>
        </w:r>
      </w:hyperlink>
      <w:r w:rsidRPr="00936270">
        <w:rPr>
          <w:rFonts w:ascii="Tenorite" w:eastAsia="Times New Roman" w:hAnsi="Tenorite" w:cs="Times New Roman"/>
          <w:color w:val="636363"/>
          <w:lang w:eastAsia="fr-FR"/>
        </w:rPr>
        <w:t xml:space="preserve"> d’exécution (UE) 2025/1772 de la Commission du 1er septembre 2025 modifiant les annexes V, XIV et XV du règlement d’exécution (UE) 2021/404 en ce qui concerne les mentions relatives à l’Argentine et aux États-Unis dans les listes des pays tiers et territoires ou des zones de pays tiers ou territoire en provenance desquels l’entrée dans l’Union d’envois de volailles et de produits germinaux de volailles ainsi que de viandes fraîches de volailles et de produits à base de viande de volailles est autorisée (JOUE 02/09/2025)</w:t>
      </w:r>
    </w:p>
    <w:p w14:paraId="7D98AE7B" w14:textId="77777777" w:rsidR="00936270" w:rsidRPr="00936270" w:rsidRDefault="00936270" w:rsidP="00936270">
      <w:pPr>
        <w:shd w:val="clear" w:color="auto" w:fill="FFFFFF"/>
        <w:spacing w:after="0" w:line="240" w:lineRule="auto"/>
        <w:ind w:left="142"/>
        <w:jc w:val="both"/>
        <w:rPr>
          <w:rFonts w:ascii="Tenorite" w:eastAsia="Times New Roman" w:hAnsi="Tenorite" w:cs="Times New Roman"/>
          <w:color w:val="636363"/>
          <w:lang w:eastAsia="fr-FR"/>
        </w:rPr>
      </w:pPr>
    </w:p>
    <w:p w14:paraId="3D5CD863" w14:textId="77777777" w:rsidR="00936270" w:rsidRDefault="00936270" w:rsidP="00936270">
      <w:pPr>
        <w:shd w:val="clear" w:color="auto" w:fill="FFFFFF"/>
        <w:spacing w:after="0" w:line="240" w:lineRule="auto"/>
        <w:ind w:left="142"/>
        <w:jc w:val="both"/>
        <w:rPr>
          <w:rFonts w:ascii="Tenorite" w:eastAsia="Times New Roman" w:hAnsi="Tenorite" w:cs="Times New Roman"/>
          <w:color w:val="636363"/>
          <w:lang w:eastAsia="fr-FR"/>
        </w:rPr>
      </w:pPr>
      <w:hyperlink r:id="rId43" w:history="1">
        <w:r w:rsidRPr="00936270">
          <w:rPr>
            <w:rStyle w:val="Lienhypertexte"/>
            <w:rFonts w:ascii="Tenorite" w:eastAsia="Times New Roman" w:hAnsi="Tenorite" w:cs="Times New Roman"/>
            <w:lang w:eastAsia="fr-FR"/>
          </w:rPr>
          <w:t>Règlement</w:t>
        </w:r>
      </w:hyperlink>
      <w:r w:rsidRPr="00936270">
        <w:rPr>
          <w:rFonts w:ascii="Tenorite" w:eastAsia="Times New Roman" w:hAnsi="Tenorite" w:cs="Times New Roman"/>
          <w:color w:val="636363"/>
          <w:lang w:eastAsia="fr-FR"/>
        </w:rPr>
        <w:t xml:space="preserve"> d’exécution (UE) 2025/1923 de la Commission du 19 septembre 2025 modifiant les annexes V et XIV du règlement d’exécution (UE) 2021/404 en ce qui concerne les mentions relatives au Brésil dans les listes de pays tiers, de territoires ou de zones de pays tiers en provenance desquels l’entrée dans l’Union d’envois de volailles et de produits germinaux de volailles ainsi que de viandes fraîches de volailles et de gibier à plumes est autorisée (JOUE 22/09/2025)</w:t>
      </w:r>
    </w:p>
    <w:p w14:paraId="49583236" w14:textId="77777777" w:rsidR="00936270" w:rsidRPr="00936270" w:rsidRDefault="00936270" w:rsidP="00936270">
      <w:pPr>
        <w:shd w:val="clear" w:color="auto" w:fill="FFFFFF"/>
        <w:spacing w:after="0" w:line="240" w:lineRule="auto"/>
        <w:ind w:left="142"/>
        <w:jc w:val="both"/>
        <w:rPr>
          <w:rFonts w:ascii="Tenorite" w:eastAsia="Times New Roman" w:hAnsi="Tenorite" w:cs="Times New Roman"/>
          <w:color w:val="636363"/>
          <w:lang w:eastAsia="fr-FR"/>
        </w:rPr>
      </w:pPr>
    </w:p>
    <w:p w14:paraId="2DE62B07" w14:textId="77777777" w:rsidR="00936270" w:rsidRPr="00936270" w:rsidRDefault="00936270" w:rsidP="00936270">
      <w:pPr>
        <w:shd w:val="clear" w:color="auto" w:fill="FFFFFF"/>
        <w:spacing w:after="0" w:line="240" w:lineRule="auto"/>
        <w:ind w:left="142"/>
        <w:jc w:val="both"/>
        <w:rPr>
          <w:rFonts w:ascii="Tenorite" w:eastAsia="Times New Roman" w:hAnsi="Tenorite" w:cs="Times New Roman"/>
          <w:color w:val="636363"/>
          <w:lang w:eastAsia="fr-FR"/>
        </w:rPr>
      </w:pPr>
      <w:hyperlink r:id="rId44" w:history="1">
        <w:r w:rsidRPr="00936270">
          <w:rPr>
            <w:rStyle w:val="Lienhypertexte"/>
            <w:rFonts w:ascii="Tenorite" w:eastAsia="Times New Roman" w:hAnsi="Tenorite" w:cs="Times New Roman"/>
            <w:lang w:eastAsia="fr-FR"/>
          </w:rPr>
          <w:t>Règlement</w:t>
        </w:r>
      </w:hyperlink>
      <w:r w:rsidRPr="00936270">
        <w:rPr>
          <w:rFonts w:ascii="Tenorite" w:eastAsia="Times New Roman" w:hAnsi="Tenorite" w:cs="Times New Roman"/>
          <w:color w:val="636363"/>
          <w:lang w:eastAsia="fr-FR"/>
        </w:rPr>
        <w:t xml:space="preserve"> d’exécution (UE) 2025/1934 de la Commission du 19 septembre 2025 modifiant les annexes V et XIV du règlement d’exécution (UE) 2021/404 en ce qui concerne les mentions relatives au Canada, au Royaume-Uni et aux États-Unis dans les listes de pays tiers, de territoires ou de zones de pays tiers en provenance desquels l’entrée dans l’Union d’envois de volailles et de produits germinaux de volailles ainsi que de viandes fraîches de volailles et de gibier à plumes est autorisée (JOUE 22/09/2025)</w:t>
      </w:r>
    </w:p>
    <w:p w14:paraId="31B684D8" w14:textId="77777777" w:rsidR="00936270" w:rsidRDefault="00936270" w:rsidP="008B535C">
      <w:pPr>
        <w:spacing w:after="0" w:line="240" w:lineRule="auto"/>
        <w:ind w:left="284" w:hanging="142"/>
        <w:jc w:val="both"/>
        <w:rPr>
          <w:rFonts w:ascii="Tenorite" w:hAnsi="Tenorite"/>
          <w:color w:val="C45911" w:themeColor="accent2" w:themeShade="BF"/>
          <w:sz w:val="20"/>
        </w:rPr>
      </w:pPr>
    </w:p>
    <w:p w14:paraId="4F7079E9" w14:textId="77777777" w:rsidR="00DE7068" w:rsidRPr="008B535C" w:rsidRDefault="00DE7068" w:rsidP="008B535C">
      <w:pPr>
        <w:pStyle w:val="Textebrut"/>
        <w:ind w:left="142"/>
        <w:jc w:val="both"/>
        <w:rPr>
          <w:rFonts w:ascii="Tenorite" w:hAnsi="Tenorite"/>
          <w:szCs w:val="22"/>
        </w:rPr>
      </w:pPr>
    </w:p>
    <w:p w14:paraId="6D319C29" w14:textId="196C814A" w:rsidR="002B7CB6" w:rsidRPr="005F3EA3" w:rsidRDefault="002B7CB6" w:rsidP="008B535C">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MATERIAUX </w:t>
      </w:r>
      <w:r w:rsidR="00767DBA">
        <w:rPr>
          <w:rFonts w:ascii="Tenorite" w:hAnsi="Tenorite"/>
          <w:b/>
          <w:color w:val="833C0B" w:themeColor="accent2" w:themeShade="80"/>
          <w:sz w:val="24"/>
        </w:rPr>
        <w:t xml:space="preserve">ET OBJETS </w:t>
      </w:r>
      <w:r w:rsidRPr="005F3EA3">
        <w:rPr>
          <w:rFonts w:ascii="Tenorite" w:hAnsi="Tenorite"/>
          <w:b/>
          <w:color w:val="833C0B" w:themeColor="accent2" w:themeShade="80"/>
          <w:sz w:val="24"/>
        </w:rPr>
        <w:t>AU CONTACT</w:t>
      </w:r>
    </w:p>
    <w:p w14:paraId="03B49688" w14:textId="448B80D2" w:rsidR="00767DBA" w:rsidRDefault="00DE7068" w:rsidP="002B7CB6">
      <w:pPr>
        <w:spacing w:line="240" w:lineRule="auto"/>
        <w:ind w:left="284" w:hanging="142"/>
        <w:rPr>
          <w:rFonts w:ascii="Tenorite" w:hAnsi="Tenorite"/>
          <w:b/>
        </w:rPr>
      </w:pPr>
      <w:r>
        <w:rPr>
          <w:rFonts w:ascii="Tenorite" w:hAnsi="Tenorite"/>
          <w:b/>
        </w:rPr>
        <w:t>/</w:t>
      </w:r>
    </w:p>
    <w:p w14:paraId="41FF9880" w14:textId="77777777"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CONDITIONNEMENT - EMBALLAGE</w:t>
      </w:r>
    </w:p>
    <w:p w14:paraId="058A5014" w14:textId="36D9C47E" w:rsidR="00767DBA" w:rsidRPr="005F3EA3" w:rsidRDefault="00DE7068" w:rsidP="002B7CB6">
      <w:pPr>
        <w:spacing w:line="240" w:lineRule="auto"/>
        <w:ind w:left="284" w:hanging="142"/>
        <w:rPr>
          <w:rFonts w:ascii="Tenorite" w:hAnsi="Tenorite"/>
          <w:b/>
        </w:rPr>
      </w:pPr>
      <w:r>
        <w:rPr>
          <w:rFonts w:ascii="Tenorite" w:hAnsi="Tenorite"/>
          <w:b/>
        </w:rPr>
        <w:t>/</w:t>
      </w:r>
    </w:p>
    <w:p w14:paraId="262EC01F"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METROLOGIE</w:t>
      </w:r>
    </w:p>
    <w:p w14:paraId="6A8D2938" w14:textId="5B53E532" w:rsidR="001B42BB" w:rsidRDefault="00DE7068" w:rsidP="002B7CB6">
      <w:pPr>
        <w:spacing w:line="240" w:lineRule="auto"/>
        <w:ind w:left="284" w:hanging="142"/>
        <w:rPr>
          <w:rFonts w:ascii="Tenorite" w:hAnsi="Tenorite"/>
          <w:b/>
        </w:rPr>
      </w:pPr>
      <w:r>
        <w:rPr>
          <w:rFonts w:ascii="Tenorite" w:hAnsi="Tenorite"/>
          <w:b/>
        </w:rPr>
        <w:t>/</w:t>
      </w:r>
    </w:p>
    <w:p w14:paraId="44733FE1" w14:textId="77777777"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NUTRITION – ALIMENTATION PARTICULIERE</w:t>
      </w:r>
    </w:p>
    <w:p w14:paraId="3B9E4BE7" w14:textId="798A1957" w:rsidR="00767DBA" w:rsidRPr="005F3EA3" w:rsidRDefault="00DE7068" w:rsidP="002B7CB6">
      <w:pPr>
        <w:spacing w:line="240" w:lineRule="auto"/>
        <w:ind w:left="284" w:hanging="142"/>
        <w:rPr>
          <w:rFonts w:ascii="Tenorite" w:hAnsi="Tenorite"/>
          <w:b/>
        </w:rPr>
      </w:pPr>
      <w:r>
        <w:rPr>
          <w:rFonts w:ascii="Tenorite" w:hAnsi="Tenorite"/>
          <w:b/>
        </w:rPr>
        <w:t>/</w:t>
      </w:r>
    </w:p>
    <w:p w14:paraId="42D2A12E"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OGM</w:t>
      </w:r>
    </w:p>
    <w:p w14:paraId="2B21C0AF" w14:textId="77777777" w:rsidR="004A1CD1" w:rsidRDefault="004A1CD1" w:rsidP="007611C3">
      <w:pPr>
        <w:pStyle w:val="Textebrut"/>
        <w:ind w:left="142"/>
        <w:jc w:val="both"/>
        <w:rPr>
          <w:rFonts w:ascii="Tenorite" w:hAnsi="Tenorite"/>
        </w:rPr>
      </w:pPr>
      <w:hyperlink r:id="rId45" w:history="1">
        <w:r w:rsidRPr="007611C3">
          <w:rPr>
            <w:rStyle w:val="Lienhypertexte"/>
            <w:rFonts w:ascii="Tenorite" w:hAnsi="Tenorite"/>
          </w:rPr>
          <w:t>Décision</w:t>
        </w:r>
      </w:hyperlink>
      <w:r w:rsidRPr="007611C3">
        <w:rPr>
          <w:rFonts w:ascii="Tenorite" w:hAnsi="Tenorite"/>
        </w:rPr>
        <w:t xml:space="preserve"> d’exécution (UE) 2025/1898 de la Commission du 22 septembre 2025 autorisant la mise sur le marché de produits contenant du maïs génétiquement modifié DP51291, consistant en ce maïs ou produits à partir de celui-ci, en application du règlement (CE) no 1829/2003 du Parlement européen et du Conseil (JOUE 23/09/2025)</w:t>
      </w:r>
    </w:p>
    <w:p w14:paraId="4695D472" w14:textId="77777777" w:rsidR="007611C3" w:rsidRPr="007611C3" w:rsidRDefault="007611C3" w:rsidP="007611C3">
      <w:pPr>
        <w:pStyle w:val="Textebrut"/>
        <w:ind w:left="142"/>
        <w:jc w:val="both"/>
        <w:rPr>
          <w:rFonts w:ascii="Tenorite" w:hAnsi="Tenorite"/>
        </w:rPr>
      </w:pPr>
    </w:p>
    <w:p w14:paraId="73BA24AE" w14:textId="77777777" w:rsidR="002B7CB6" w:rsidRPr="005F3EA3" w:rsidRDefault="00767DBA"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 xml:space="preserve">PRODUITS BIOLOGIQUES </w:t>
      </w:r>
    </w:p>
    <w:p w14:paraId="471E22FE" w14:textId="560E28A8" w:rsidR="001B42BB" w:rsidRDefault="00DE7068" w:rsidP="001B42BB">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w:t>
      </w:r>
    </w:p>
    <w:p w14:paraId="6A3146CF" w14:textId="77777777" w:rsidR="00767DBA" w:rsidRPr="005F3EA3" w:rsidRDefault="00767DBA" w:rsidP="001B42BB">
      <w:pPr>
        <w:spacing w:after="0" w:line="240" w:lineRule="auto"/>
        <w:ind w:left="284" w:hanging="142"/>
        <w:rPr>
          <w:rFonts w:ascii="Tenorite" w:hAnsi="Tenorite"/>
          <w:color w:val="C45911" w:themeColor="accent2" w:themeShade="BF"/>
          <w:sz w:val="20"/>
        </w:rPr>
      </w:pPr>
    </w:p>
    <w:p w14:paraId="7F76598C" w14:textId="77777777"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SIGNES </w:t>
      </w:r>
      <w:r>
        <w:rPr>
          <w:rFonts w:ascii="Tenorite" w:hAnsi="Tenorite"/>
          <w:b/>
          <w:color w:val="833C0B" w:themeColor="accent2" w:themeShade="80"/>
          <w:sz w:val="24"/>
        </w:rPr>
        <w:t xml:space="preserve">OFFICIELS DE </w:t>
      </w:r>
      <w:r w:rsidRPr="005F3EA3">
        <w:rPr>
          <w:rFonts w:ascii="Tenorite" w:hAnsi="Tenorite"/>
          <w:b/>
          <w:color w:val="833C0B" w:themeColor="accent2" w:themeShade="80"/>
          <w:sz w:val="24"/>
        </w:rPr>
        <w:t>QUALITE</w:t>
      </w:r>
    </w:p>
    <w:p w14:paraId="68B4F8FA" w14:textId="7D03F6D9" w:rsidR="00DF6016" w:rsidRDefault="007611C3" w:rsidP="00DF6016">
      <w:pPr>
        <w:pStyle w:val="Textebrut"/>
      </w:pPr>
      <w:r>
        <w:t>/</w:t>
      </w:r>
    </w:p>
    <w:p w14:paraId="583862CF" w14:textId="77777777" w:rsidR="007611C3" w:rsidRDefault="007611C3" w:rsidP="00DF6016">
      <w:pPr>
        <w:pStyle w:val="Textebrut"/>
      </w:pPr>
    </w:p>
    <w:p w14:paraId="5CFC7F8A" w14:textId="46FE90E1"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TRAITEMENT</w:t>
      </w:r>
      <w:r w:rsidR="00767DBA">
        <w:rPr>
          <w:rFonts w:ascii="Tenorite" w:hAnsi="Tenorite"/>
          <w:b/>
          <w:color w:val="833C0B" w:themeColor="accent2" w:themeShade="80"/>
          <w:sz w:val="24"/>
        </w:rPr>
        <w:t xml:space="preserve"> DES DENREES ALIEMNTAIRES </w:t>
      </w:r>
    </w:p>
    <w:p w14:paraId="0F009304" w14:textId="02C24343" w:rsidR="00D025D4" w:rsidRDefault="007611C3" w:rsidP="00D025D4">
      <w:pPr>
        <w:tabs>
          <w:tab w:val="left" w:pos="4785"/>
        </w:tabs>
        <w:rPr>
          <w:rFonts w:ascii="Tenorite" w:hAnsi="Tenorite"/>
          <w:color w:val="C45911" w:themeColor="accent2" w:themeShade="BF"/>
          <w:sz w:val="20"/>
        </w:rPr>
      </w:pPr>
      <w:r>
        <w:rPr>
          <w:rFonts w:ascii="Tenorite" w:hAnsi="Tenorite"/>
          <w:color w:val="C45911" w:themeColor="accent2" w:themeShade="BF"/>
          <w:sz w:val="20"/>
        </w:rPr>
        <w:t>/</w:t>
      </w:r>
    </w:p>
    <w:p w14:paraId="2F313BF6" w14:textId="77777777" w:rsidR="00333853" w:rsidRDefault="00333853" w:rsidP="00D025D4">
      <w:pPr>
        <w:tabs>
          <w:tab w:val="left" w:pos="4785"/>
        </w:tabs>
        <w:rPr>
          <w:rFonts w:ascii="Tenorite" w:hAnsi="Tenorite"/>
          <w:color w:val="C45911" w:themeColor="accent2" w:themeShade="BF"/>
          <w:sz w:val="20"/>
        </w:rPr>
      </w:pPr>
    </w:p>
    <w:p w14:paraId="47E957E9" w14:textId="77777777" w:rsidR="00333853" w:rsidRDefault="00333853" w:rsidP="00D025D4">
      <w:pPr>
        <w:tabs>
          <w:tab w:val="left" w:pos="4785"/>
        </w:tabs>
        <w:rPr>
          <w:rFonts w:ascii="Tenorite" w:hAnsi="Tenorite"/>
          <w:color w:val="C45911" w:themeColor="accent2" w:themeShade="BF"/>
          <w:sz w:val="20"/>
        </w:rPr>
      </w:pPr>
    </w:p>
    <w:p w14:paraId="35CB77B0" w14:textId="77777777" w:rsidR="00333853" w:rsidRPr="005F3EA3" w:rsidRDefault="00333853" w:rsidP="00D025D4">
      <w:pPr>
        <w:tabs>
          <w:tab w:val="left" w:pos="4785"/>
        </w:tabs>
        <w:rPr>
          <w:rFonts w:ascii="Tenorite" w:hAnsi="Tenorite"/>
        </w:rPr>
      </w:pPr>
    </w:p>
    <w:p w14:paraId="2414B308" w14:textId="77777777" w:rsidR="00D025D4" w:rsidRPr="005F3EA3" w:rsidRDefault="00D025D4" w:rsidP="00D025D4">
      <w:pPr>
        <w:spacing w:after="0" w:line="276" w:lineRule="auto"/>
        <w:ind w:left="709" w:hanging="283"/>
        <w:rPr>
          <w:rFonts w:ascii="Tenorite" w:hAnsi="Tenorite" w:cs="Tahoma"/>
          <w:b/>
          <w:color w:val="EF671A"/>
          <w:sz w:val="8"/>
          <w:szCs w:val="8"/>
          <w:u w:val="single"/>
        </w:rPr>
      </w:pPr>
    </w:p>
    <w:p w14:paraId="492504AF" w14:textId="77777777" w:rsidR="00D025D4" w:rsidRPr="002D342B" w:rsidRDefault="00D025D4" w:rsidP="00D025D4">
      <w:pPr>
        <w:spacing w:after="0" w:line="276" w:lineRule="auto"/>
        <w:ind w:left="426" w:hanging="283"/>
        <w:rPr>
          <w:rFonts w:ascii="Tenorite" w:hAnsi="Tenorite" w:cs="Tahoma"/>
          <w:b/>
          <w:color w:val="EF671A"/>
          <w:sz w:val="24"/>
          <w:szCs w:val="24"/>
          <w:u w:val="single"/>
        </w:rPr>
      </w:pPr>
      <w:r w:rsidRPr="005F3EA3">
        <w:rPr>
          <w:rFonts w:ascii="Tenorite" w:hAnsi="Tenorite" w:cs="Tahoma"/>
          <w:b/>
          <w:color w:val="EF671A"/>
          <w:sz w:val="32"/>
          <w:szCs w:val="32"/>
          <w:u w:val="single"/>
        </w:rPr>
        <w:t>Partie 2 : Règlementation verticale</w:t>
      </w:r>
      <w:r w:rsidRPr="005F3EA3">
        <w:rPr>
          <w:rFonts w:ascii="Tenorite" w:hAnsi="Tenorite" w:cs="Tahoma"/>
          <w:b/>
          <w:color w:val="EF671A"/>
          <w:sz w:val="32"/>
          <w:szCs w:val="32"/>
        </w:rPr>
        <w:t xml:space="preserve"> : </w:t>
      </w:r>
      <w:r w:rsidRPr="002D342B">
        <w:rPr>
          <w:rFonts w:ascii="Tenorite" w:hAnsi="Tenorite" w:cs="Tahoma"/>
          <w:b/>
          <w:color w:val="EF671A"/>
          <w:sz w:val="24"/>
          <w:szCs w:val="24"/>
        </w:rPr>
        <w:t>Secteurs d’activité (Matières traitées et produits finis)</w:t>
      </w:r>
    </w:p>
    <w:p w14:paraId="32771D8B" w14:textId="77777777" w:rsidR="00D025D4" w:rsidRPr="005F3EA3" w:rsidRDefault="00E464D9" w:rsidP="00D025D4">
      <w:pPr>
        <w:shd w:val="clear" w:color="auto" w:fill="D9D9D9" w:themeFill="background1" w:themeFillShade="D9"/>
        <w:spacing w:after="0"/>
        <w:ind w:left="426" w:hanging="283"/>
        <w:rPr>
          <w:rFonts w:ascii="Tenorite" w:hAnsi="Tenorite"/>
          <w:b/>
          <w:color w:val="833C0B" w:themeColor="accent2" w:themeShade="80"/>
          <w:sz w:val="24"/>
          <w:szCs w:val="24"/>
        </w:rPr>
      </w:pPr>
      <w:r>
        <w:rPr>
          <w:rFonts w:ascii="Tenorite" w:hAnsi="Tenorite"/>
          <w:b/>
          <w:color w:val="833C0B" w:themeColor="accent2" w:themeShade="80"/>
          <w:sz w:val="24"/>
          <w:szCs w:val="24"/>
        </w:rPr>
        <w:t>CEREALES ET PRODUITS DU GRAIN</w:t>
      </w:r>
    </w:p>
    <w:p w14:paraId="6D630BF5" w14:textId="5E65A734" w:rsidR="000E1DBA" w:rsidRDefault="007611C3" w:rsidP="007611C3">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w:t>
      </w:r>
    </w:p>
    <w:p w14:paraId="05202321" w14:textId="77777777" w:rsidR="00333853" w:rsidRPr="008B535C" w:rsidRDefault="00333853" w:rsidP="007611C3">
      <w:pPr>
        <w:spacing w:after="0" w:line="240" w:lineRule="auto"/>
        <w:ind w:left="284" w:hanging="142"/>
        <w:rPr>
          <w:rFonts w:ascii="Tenorite" w:eastAsia="Times New Roman" w:hAnsi="Tenorite" w:cs="Times New Roman"/>
          <w:color w:val="636363"/>
          <w:sz w:val="21"/>
          <w:szCs w:val="21"/>
          <w:lang w:eastAsia="fr-FR"/>
        </w:rPr>
      </w:pPr>
    </w:p>
    <w:p w14:paraId="31D3D76D" w14:textId="77777777" w:rsidR="00E464D9" w:rsidRPr="005F3EA3" w:rsidRDefault="00E464D9" w:rsidP="00E464D9">
      <w:pPr>
        <w:shd w:val="clear" w:color="auto" w:fill="D9D9D9" w:themeFill="background1" w:themeFillShade="D9"/>
        <w:spacing w:after="0"/>
        <w:ind w:left="426" w:hanging="283"/>
        <w:rPr>
          <w:rFonts w:ascii="Tenorite" w:hAnsi="Tenorite"/>
          <w:b/>
        </w:rPr>
      </w:pPr>
      <w:r>
        <w:rPr>
          <w:rFonts w:ascii="Tenorite" w:hAnsi="Tenorite"/>
          <w:b/>
          <w:color w:val="833C0B" w:themeColor="accent2" w:themeShade="80"/>
          <w:sz w:val="24"/>
          <w:szCs w:val="24"/>
        </w:rPr>
        <w:t xml:space="preserve">HUILES ET CORPS GRAS </w:t>
      </w:r>
      <w:r w:rsidRPr="005F3EA3">
        <w:rPr>
          <w:rFonts w:ascii="Tenorite" w:hAnsi="Tenorite"/>
          <w:b/>
        </w:rPr>
        <w:t xml:space="preserve"> </w:t>
      </w:r>
    </w:p>
    <w:p w14:paraId="0B210B77" w14:textId="479F791A" w:rsidR="00E464D9" w:rsidRPr="005F3EA3" w:rsidRDefault="007611C3" w:rsidP="00E464D9">
      <w:pPr>
        <w:ind w:left="426" w:hanging="283"/>
        <w:rPr>
          <w:rFonts w:ascii="Tenorite" w:hAnsi="Tenorite"/>
          <w:color w:val="C45911" w:themeColor="accent2" w:themeShade="BF"/>
          <w:sz w:val="20"/>
          <w:szCs w:val="18"/>
        </w:rPr>
      </w:pPr>
      <w:r>
        <w:rPr>
          <w:rFonts w:ascii="Tenorite" w:hAnsi="Tenorite"/>
          <w:color w:val="C45911" w:themeColor="accent2" w:themeShade="BF"/>
          <w:sz w:val="20"/>
          <w:szCs w:val="18"/>
        </w:rPr>
        <w:t>/</w:t>
      </w:r>
    </w:p>
    <w:p w14:paraId="540D0199" w14:textId="77777777" w:rsidR="00D025D4" w:rsidRPr="005F3EA3" w:rsidRDefault="00D025D4" w:rsidP="00D025D4">
      <w:pPr>
        <w:shd w:val="clear" w:color="auto" w:fill="D9D9D9" w:themeFill="background1" w:themeFillShade="D9"/>
        <w:spacing w:after="0"/>
        <w:ind w:left="426" w:hanging="283"/>
        <w:rPr>
          <w:rFonts w:ascii="Tenorite" w:hAnsi="Tenorite"/>
          <w:b/>
        </w:rPr>
      </w:pPr>
      <w:r w:rsidRPr="005F3EA3">
        <w:rPr>
          <w:rFonts w:ascii="Tenorite" w:hAnsi="Tenorite"/>
          <w:b/>
          <w:color w:val="833C0B" w:themeColor="accent2" w:themeShade="80"/>
          <w:sz w:val="24"/>
          <w:szCs w:val="24"/>
        </w:rPr>
        <w:t>LAITS ET PRODUITS LAITIERS</w:t>
      </w:r>
      <w:r w:rsidRPr="005F3EA3">
        <w:rPr>
          <w:rFonts w:ascii="Tenorite" w:hAnsi="Tenorite"/>
          <w:b/>
        </w:rPr>
        <w:t xml:space="preserve"> </w:t>
      </w:r>
    </w:p>
    <w:p w14:paraId="05ABA3CD" w14:textId="47D28DA9" w:rsidR="00DF6016" w:rsidRDefault="007611C3" w:rsidP="007611C3">
      <w:pPr>
        <w:spacing w:after="0" w:line="240" w:lineRule="auto"/>
        <w:ind w:left="142"/>
        <w:jc w:val="both"/>
        <w:rPr>
          <w:rFonts w:ascii="Tenorite" w:hAnsi="Tenorite"/>
          <w:color w:val="C45911" w:themeColor="accent2" w:themeShade="BF"/>
        </w:rPr>
      </w:pPr>
      <w:r>
        <w:rPr>
          <w:rFonts w:ascii="Tenorite" w:hAnsi="Tenorite"/>
          <w:color w:val="C45911" w:themeColor="accent2" w:themeShade="BF"/>
        </w:rPr>
        <w:t>/</w:t>
      </w:r>
    </w:p>
    <w:p w14:paraId="697D30E7" w14:textId="77777777" w:rsidR="00333853" w:rsidRDefault="00333853" w:rsidP="007611C3">
      <w:pPr>
        <w:spacing w:after="0" w:line="240" w:lineRule="auto"/>
        <w:ind w:left="142"/>
        <w:jc w:val="both"/>
        <w:rPr>
          <w:rFonts w:ascii="Tenorite" w:hAnsi="Tenorite"/>
          <w:color w:val="C45911" w:themeColor="accent2" w:themeShade="BF"/>
          <w:sz w:val="20"/>
          <w:szCs w:val="18"/>
        </w:rPr>
      </w:pPr>
    </w:p>
    <w:p w14:paraId="50C3E512"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ŒUFS ET OVOPRODUITS </w:t>
      </w:r>
    </w:p>
    <w:p w14:paraId="4F5387A1" w14:textId="2F96702E" w:rsidR="00843DD1" w:rsidRDefault="007611C3" w:rsidP="007611C3">
      <w:pPr>
        <w:spacing w:after="0" w:line="240" w:lineRule="auto"/>
        <w:ind w:left="142"/>
        <w:jc w:val="both"/>
        <w:rPr>
          <w:rFonts w:ascii="Tenorite" w:hAnsi="Tenorite"/>
          <w:color w:val="C45911" w:themeColor="accent2" w:themeShade="BF"/>
        </w:rPr>
      </w:pPr>
      <w:r>
        <w:rPr>
          <w:rFonts w:ascii="Tenorite" w:hAnsi="Tenorite"/>
          <w:color w:val="C45911" w:themeColor="accent2" w:themeShade="BF"/>
        </w:rPr>
        <w:t>/</w:t>
      </w:r>
    </w:p>
    <w:p w14:paraId="1C0852E3" w14:textId="77777777" w:rsidR="00333853" w:rsidRPr="008B535C" w:rsidRDefault="00333853" w:rsidP="007611C3">
      <w:pPr>
        <w:spacing w:after="0" w:line="240" w:lineRule="auto"/>
        <w:ind w:left="142"/>
        <w:jc w:val="both"/>
        <w:rPr>
          <w:rFonts w:ascii="Tenorite" w:hAnsi="Tenorite"/>
        </w:rPr>
      </w:pPr>
    </w:p>
    <w:p w14:paraId="72C39B7E"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PRODUITS SUCRES </w:t>
      </w:r>
    </w:p>
    <w:p w14:paraId="4A104601" w14:textId="40B25792" w:rsidR="00843DD1" w:rsidRPr="005F3EA3" w:rsidRDefault="007611C3" w:rsidP="00D025D4">
      <w:pPr>
        <w:ind w:left="426" w:hanging="283"/>
        <w:rPr>
          <w:rFonts w:ascii="Tenorite" w:hAnsi="Tenorite"/>
          <w:color w:val="C45911" w:themeColor="accent2" w:themeShade="BF"/>
          <w:sz w:val="20"/>
          <w:szCs w:val="18"/>
        </w:rPr>
      </w:pPr>
      <w:r>
        <w:rPr>
          <w:rFonts w:ascii="Tenorite" w:hAnsi="Tenorite"/>
          <w:color w:val="C45911" w:themeColor="accent2" w:themeShade="BF"/>
          <w:sz w:val="20"/>
          <w:szCs w:val="18"/>
        </w:rPr>
        <w:t>/</w:t>
      </w:r>
    </w:p>
    <w:p w14:paraId="47FBF837"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VIANDES ET PRODUITS À BASE DE VIANDE </w:t>
      </w:r>
    </w:p>
    <w:p w14:paraId="56C79941" w14:textId="74528513" w:rsidR="00D025D4" w:rsidRPr="008B535C" w:rsidRDefault="00D025D4" w:rsidP="008B535C">
      <w:pPr>
        <w:spacing w:after="0" w:line="240" w:lineRule="auto"/>
        <w:ind w:left="142"/>
        <w:jc w:val="both"/>
        <w:rPr>
          <w:rFonts w:ascii="Tenorite" w:hAnsi="Tenorite"/>
          <w:color w:val="C45911" w:themeColor="accent2" w:themeShade="BF"/>
        </w:rPr>
      </w:pPr>
      <w:r w:rsidRPr="008B535C">
        <w:rPr>
          <w:rFonts w:ascii="Tenorite" w:hAnsi="Tenorite"/>
          <w:color w:val="C45911" w:themeColor="accent2" w:themeShade="BF"/>
        </w:rPr>
        <w:t>Maladies</w:t>
      </w:r>
    </w:p>
    <w:p w14:paraId="40D93B18" w14:textId="77777777" w:rsidR="004A1CD1" w:rsidRDefault="004A1CD1" w:rsidP="007611C3">
      <w:pPr>
        <w:shd w:val="clear" w:color="auto" w:fill="FFFFFF"/>
        <w:spacing w:after="0" w:line="240" w:lineRule="auto"/>
        <w:ind w:left="142"/>
        <w:jc w:val="both"/>
        <w:rPr>
          <w:rFonts w:ascii="Tenorite" w:eastAsia="Times New Roman" w:hAnsi="Tenorite" w:cs="Times New Roman"/>
          <w:color w:val="636363"/>
          <w:sz w:val="21"/>
          <w:szCs w:val="21"/>
          <w:lang w:eastAsia="fr-FR"/>
        </w:rPr>
      </w:pPr>
      <w:r w:rsidRPr="007611C3">
        <w:rPr>
          <w:rFonts w:ascii="Tenorite" w:eastAsia="Times New Roman" w:hAnsi="Tenorite" w:cs="Times New Roman"/>
          <w:b/>
          <w:bCs/>
          <w:color w:val="636363"/>
          <w:sz w:val="21"/>
          <w:szCs w:val="21"/>
          <w:lang w:eastAsia="fr-FR"/>
        </w:rPr>
        <w:lastRenderedPageBreak/>
        <w:t>Instruction technique </w:t>
      </w:r>
      <w:hyperlink r:id="rId46" w:history="1">
        <w:r w:rsidRPr="007611C3">
          <w:rPr>
            <w:rFonts w:ascii="Tenorite" w:eastAsia="Times New Roman" w:hAnsi="Tenorite" w:cs="Times New Roman"/>
            <w:color w:val="0088CC"/>
            <w:sz w:val="21"/>
            <w:szCs w:val="21"/>
            <w:u w:val="single"/>
            <w:lang w:eastAsia="fr-FR"/>
          </w:rPr>
          <w:t>DGAL/SDSBEA/2025-525</w:t>
        </w:r>
      </w:hyperlink>
      <w:r w:rsidRPr="007611C3">
        <w:rPr>
          <w:rFonts w:ascii="Tenorite" w:eastAsia="Times New Roman" w:hAnsi="Tenorite" w:cs="Times New Roman"/>
          <w:color w:val="636363"/>
          <w:sz w:val="21"/>
          <w:szCs w:val="21"/>
          <w:lang w:eastAsia="fr-FR"/>
        </w:rPr>
        <w:t> du 14-08-2025 - DNC - conditions applicables aux mouvements des bovins, de leurs produits germinaux et du lisier (DGAL)</w:t>
      </w:r>
    </w:p>
    <w:p w14:paraId="01B6F904" w14:textId="77777777" w:rsidR="007611C3" w:rsidRPr="007611C3" w:rsidRDefault="007611C3" w:rsidP="007611C3">
      <w:pPr>
        <w:shd w:val="clear" w:color="auto" w:fill="FFFFFF"/>
        <w:spacing w:after="0" w:line="240" w:lineRule="auto"/>
        <w:ind w:left="142"/>
        <w:jc w:val="both"/>
        <w:rPr>
          <w:rFonts w:ascii="Tenorite" w:eastAsia="Times New Roman" w:hAnsi="Tenorite" w:cs="Times New Roman"/>
          <w:color w:val="636363"/>
          <w:sz w:val="21"/>
          <w:szCs w:val="21"/>
          <w:lang w:eastAsia="fr-FR"/>
        </w:rPr>
      </w:pPr>
    </w:p>
    <w:p w14:paraId="68BCCBD4" w14:textId="77777777" w:rsidR="004A1CD1" w:rsidRDefault="004A1CD1" w:rsidP="007611C3">
      <w:pPr>
        <w:shd w:val="clear" w:color="auto" w:fill="FFFFFF"/>
        <w:spacing w:after="0" w:line="240" w:lineRule="auto"/>
        <w:ind w:left="142"/>
        <w:jc w:val="both"/>
        <w:rPr>
          <w:rFonts w:ascii="Tenorite" w:eastAsia="Times New Roman" w:hAnsi="Tenorite" w:cs="Times New Roman"/>
          <w:color w:val="636363"/>
          <w:sz w:val="21"/>
          <w:szCs w:val="21"/>
          <w:lang w:eastAsia="fr-FR"/>
        </w:rPr>
      </w:pPr>
      <w:hyperlink r:id="rId47" w:history="1">
        <w:r w:rsidRPr="007611C3">
          <w:rPr>
            <w:rFonts w:ascii="Tenorite" w:eastAsia="Times New Roman" w:hAnsi="Tenorite" w:cs="Times New Roman"/>
            <w:b/>
            <w:bCs/>
            <w:color w:val="0088CC"/>
            <w:sz w:val="21"/>
            <w:szCs w:val="21"/>
            <w:u w:val="single"/>
            <w:lang w:eastAsia="fr-FR"/>
          </w:rPr>
          <w:t>Rectificatif</w:t>
        </w:r>
      </w:hyperlink>
      <w:r w:rsidRPr="007611C3">
        <w:rPr>
          <w:rFonts w:ascii="Tenorite" w:eastAsia="Times New Roman" w:hAnsi="Tenorite" w:cs="Times New Roman"/>
          <w:color w:val="636363"/>
          <w:sz w:val="21"/>
          <w:szCs w:val="21"/>
          <w:lang w:eastAsia="fr-FR"/>
        </w:rPr>
        <w:t> du 04-09-2025 - DNC - conditions applicables aux mouvements des bovins, de leurs produits germinaux et du lisier (DGAL)</w:t>
      </w:r>
    </w:p>
    <w:p w14:paraId="1DB77A0B" w14:textId="77777777" w:rsidR="007611C3" w:rsidRPr="007611C3" w:rsidRDefault="007611C3" w:rsidP="007611C3">
      <w:pPr>
        <w:shd w:val="clear" w:color="auto" w:fill="FFFFFF"/>
        <w:spacing w:after="0" w:line="240" w:lineRule="auto"/>
        <w:ind w:left="142"/>
        <w:jc w:val="both"/>
        <w:rPr>
          <w:rFonts w:ascii="Tenorite" w:eastAsia="Times New Roman" w:hAnsi="Tenorite" w:cs="Times New Roman"/>
          <w:color w:val="636363"/>
          <w:sz w:val="21"/>
          <w:szCs w:val="21"/>
          <w:lang w:eastAsia="fr-FR"/>
        </w:rPr>
      </w:pPr>
    </w:p>
    <w:p w14:paraId="2DE46221" w14:textId="77777777" w:rsidR="004A1CD1" w:rsidRDefault="004A1CD1" w:rsidP="007611C3">
      <w:pPr>
        <w:pStyle w:val="Textebrut"/>
        <w:ind w:left="142"/>
        <w:jc w:val="both"/>
        <w:rPr>
          <w:rFonts w:ascii="Tenorite" w:hAnsi="Tenorite"/>
        </w:rPr>
      </w:pPr>
      <w:hyperlink r:id="rId48" w:history="1">
        <w:r w:rsidRPr="007611C3">
          <w:rPr>
            <w:rStyle w:val="Lienhypertexte"/>
            <w:rFonts w:ascii="Tenorite" w:hAnsi="Tenorite"/>
          </w:rPr>
          <w:t>Arrêté</w:t>
        </w:r>
      </w:hyperlink>
      <w:r w:rsidRPr="007611C3">
        <w:rPr>
          <w:rFonts w:ascii="Tenorite" w:hAnsi="Tenorite"/>
        </w:rPr>
        <w:t xml:space="preserve"> du 5 septembre 2025 modifiant l'arrêté du 25 septembre 2023 relatif aux mesures de surveillance, de prévention, de lutte et de vaccination contre l'influenza aviaire hautement pathogène (IAHP) (JORF 07/09/2025)</w:t>
      </w:r>
    </w:p>
    <w:p w14:paraId="62A03C20" w14:textId="77777777" w:rsidR="007611C3" w:rsidRPr="007611C3" w:rsidRDefault="007611C3" w:rsidP="007611C3">
      <w:pPr>
        <w:pStyle w:val="Textebrut"/>
        <w:ind w:left="142"/>
        <w:jc w:val="both"/>
        <w:rPr>
          <w:rFonts w:ascii="Tenorite" w:hAnsi="Tenorite"/>
        </w:rPr>
      </w:pPr>
    </w:p>
    <w:p w14:paraId="2D9544DC" w14:textId="77777777" w:rsidR="004A1CD1" w:rsidRPr="007611C3" w:rsidRDefault="004A1CD1" w:rsidP="007611C3">
      <w:pPr>
        <w:shd w:val="clear" w:color="auto" w:fill="FFFFFF"/>
        <w:spacing w:after="0" w:line="240" w:lineRule="auto"/>
        <w:ind w:left="142"/>
        <w:jc w:val="both"/>
        <w:rPr>
          <w:rFonts w:ascii="Tenorite" w:eastAsia="Times New Roman" w:hAnsi="Tenorite" w:cs="Times New Roman"/>
          <w:color w:val="636363"/>
          <w:sz w:val="21"/>
          <w:szCs w:val="21"/>
          <w:lang w:eastAsia="fr-FR"/>
        </w:rPr>
      </w:pPr>
      <w:r w:rsidRPr="007611C3">
        <w:rPr>
          <w:rFonts w:ascii="Tenorite" w:eastAsia="Times New Roman" w:hAnsi="Tenorite" w:cs="Times New Roman"/>
          <w:b/>
          <w:bCs/>
          <w:color w:val="636363"/>
          <w:sz w:val="21"/>
          <w:szCs w:val="21"/>
          <w:lang w:eastAsia="fr-FR"/>
        </w:rPr>
        <w:t>Instruction technique </w:t>
      </w:r>
      <w:hyperlink r:id="rId49" w:history="1">
        <w:r w:rsidRPr="007611C3">
          <w:rPr>
            <w:rFonts w:ascii="Tenorite" w:eastAsia="Times New Roman" w:hAnsi="Tenorite" w:cs="Times New Roman"/>
            <w:color w:val="0088CC"/>
            <w:sz w:val="21"/>
            <w:szCs w:val="21"/>
            <w:u w:val="single"/>
            <w:lang w:eastAsia="fr-FR"/>
          </w:rPr>
          <w:t>DGAL/SDSBEA/2025-583</w:t>
        </w:r>
      </w:hyperlink>
      <w:r w:rsidRPr="007611C3">
        <w:rPr>
          <w:rFonts w:ascii="Tenorite" w:eastAsia="Times New Roman" w:hAnsi="Tenorite" w:cs="Times New Roman"/>
          <w:color w:val="636363"/>
          <w:sz w:val="21"/>
          <w:szCs w:val="21"/>
          <w:lang w:eastAsia="fr-FR"/>
        </w:rPr>
        <w:t> du 17-09-2025 - Surveillance programmée d’urgence contre la dermatose nodulaire contagieuse. (DGAL)</w:t>
      </w:r>
    </w:p>
    <w:p w14:paraId="1E24F989" w14:textId="77777777" w:rsidR="007611C3" w:rsidRDefault="007611C3" w:rsidP="007611C3">
      <w:pPr>
        <w:shd w:val="clear" w:color="auto" w:fill="FFFFFF"/>
        <w:spacing w:after="0" w:line="240" w:lineRule="auto"/>
        <w:ind w:left="142"/>
        <w:jc w:val="both"/>
        <w:rPr>
          <w:rFonts w:ascii="Tenorite" w:hAnsi="Tenorite"/>
        </w:rPr>
      </w:pPr>
    </w:p>
    <w:p w14:paraId="527F8097" w14:textId="75A6E17A" w:rsidR="004A1CD1" w:rsidRDefault="004A1CD1" w:rsidP="007611C3">
      <w:pPr>
        <w:shd w:val="clear" w:color="auto" w:fill="FFFFFF"/>
        <w:spacing w:after="0" w:line="240" w:lineRule="auto"/>
        <w:ind w:left="142"/>
        <w:jc w:val="both"/>
        <w:rPr>
          <w:rFonts w:ascii="Tenorite" w:eastAsia="Times New Roman" w:hAnsi="Tenorite" w:cs="Times New Roman"/>
          <w:color w:val="636363"/>
          <w:sz w:val="21"/>
          <w:szCs w:val="21"/>
          <w:lang w:eastAsia="fr-FR"/>
        </w:rPr>
      </w:pPr>
      <w:hyperlink r:id="rId50" w:history="1">
        <w:r w:rsidRPr="007611C3">
          <w:rPr>
            <w:rFonts w:ascii="Tenorite" w:eastAsia="Times New Roman" w:hAnsi="Tenorite" w:cs="Times New Roman"/>
            <w:b/>
            <w:bCs/>
            <w:color w:val="0088CC"/>
            <w:sz w:val="21"/>
            <w:szCs w:val="21"/>
            <w:u w:val="single"/>
            <w:lang w:eastAsia="fr-FR"/>
          </w:rPr>
          <w:t>Rectificatif</w:t>
        </w:r>
      </w:hyperlink>
      <w:r w:rsidRPr="007611C3">
        <w:rPr>
          <w:rFonts w:ascii="Tenorite" w:eastAsia="Times New Roman" w:hAnsi="Tenorite" w:cs="Times New Roman"/>
          <w:color w:val="636363"/>
          <w:sz w:val="21"/>
          <w:szCs w:val="21"/>
          <w:lang w:eastAsia="fr-FR"/>
        </w:rPr>
        <w:t> du 17-09-2025 - DNC - conditions applicables aux mouvements des bovins, de leurs produits germinaux et du lisier (DGAL)</w:t>
      </w:r>
    </w:p>
    <w:p w14:paraId="26F48274" w14:textId="77777777" w:rsidR="007611C3" w:rsidRPr="007611C3" w:rsidRDefault="007611C3" w:rsidP="007611C3">
      <w:pPr>
        <w:shd w:val="clear" w:color="auto" w:fill="FFFFFF"/>
        <w:spacing w:after="0" w:line="240" w:lineRule="auto"/>
        <w:ind w:left="142"/>
        <w:jc w:val="both"/>
        <w:rPr>
          <w:rFonts w:ascii="Tenorite" w:eastAsia="Times New Roman" w:hAnsi="Tenorite" w:cs="Times New Roman"/>
          <w:color w:val="636363"/>
          <w:sz w:val="21"/>
          <w:szCs w:val="21"/>
          <w:lang w:eastAsia="fr-FR"/>
        </w:rPr>
      </w:pPr>
    </w:p>
    <w:p w14:paraId="00750470" w14:textId="77777777" w:rsidR="004A1CD1" w:rsidRDefault="004A1CD1" w:rsidP="007611C3">
      <w:pPr>
        <w:shd w:val="clear" w:color="auto" w:fill="FFFFFF"/>
        <w:spacing w:after="0" w:line="240" w:lineRule="auto"/>
        <w:ind w:left="142"/>
        <w:jc w:val="both"/>
        <w:rPr>
          <w:rFonts w:ascii="Tenorite" w:eastAsia="Times New Roman" w:hAnsi="Tenorite" w:cs="Times New Roman"/>
          <w:color w:val="636363"/>
          <w:sz w:val="21"/>
          <w:szCs w:val="21"/>
          <w:lang w:eastAsia="fr-FR"/>
        </w:rPr>
      </w:pPr>
      <w:r w:rsidRPr="007611C3">
        <w:rPr>
          <w:rFonts w:ascii="Tenorite" w:eastAsia="Times New Roman" w:hAnsi="Tenorite" w:cs="Times New Roman"/>
          <w:b/>
          <w:bCs/>
          <w:color w:val="636363"/>
          <w:sz w:val="21"/>
          <w:szCs w:val="21"/>
          <w:lang w:eastAsia="fr-FR"/>
        </w:rPr>
        <w:t>Instruction technique </w:t>
      </w:r>
      <w:hyperlink r:id="rId51" w:history="1">
        <w:r w:rsidRPr="007611C3">
          <w:rPr>
            <w:rFonts w:ascii="Tenorite" w:eastAsia="Times New Roman" w:hAnsi="Tenorite" w:cs="Times New Roman"/>
            <w:color w:val="0088CC"/>
            <w:sz w:val="21"/>
            <w:szCs w:val="21"/>
            <w:u w:val="single"/>
            <w:lang w:eastAsia="fr-FR"/>
          </w:rPr>
          <w:t>DGAL/SDSBEA/2025-601</w:t>
        </w:r>
      </w:hyperlink>
      <w:r w:rsidRPr="007611C3">
        <w:rPr>
          <w:rFonts w:ascii="Tenorite" w:eastAsia="Times New Roman" w:hAnsi="Tenorite" w:cs="Times New Roman"/>
          <w:color w:val="636363"/>
          <w:sz w:val="21"/>
          <w:szCs w:val="21"/>
          <w:lang w:eastAsia="fr-FR"/>
        </w:rPr>
        <w:t> du 29-09-2025 -Plan de vaccination officiel IAHP – Campagne de vaccination des canards - octobre 2025 (DGAL)</w:t>
      </w:r>
    </w:p>
    <w:p w14:paraId="044C7044" w14:textId="77777777" w:rsidR="007611C3" w:rsidRPr="007611C3" w:rsidRDefault="007611C3" w:rsidP="007611C3">
      <w:pPr>
        <w:shd w:val="clear" w:color="auto" w:fill="FFFFFF"/>
        <w:spacing w:after="0" w:line="240" w:lineRule="auto"/>
        <w:ind w:left="142"/>
        <w:jc w:val="both"/>
        <w:rPr>
          <w:rFonts w:ascii="Tenorite" w:hAnsi="Tenorite"/>
        </w:rPr>
      </w:pPr>
    </w:p>
    <w:p w14:paraId="2437FF87" w14:textId="77777777" w:rsidR="004A1CD1" w:rsidRDefault="004A1CD1" w:rsidP="007611C3">
      <w:pPr>
        <w:shd w:val="clear" w:color="auto" w:fill="FFFFFF"/>
        <w:spacing w:after="0" w:line="240" w:lineRule="auto"/>
        <w:ind w:left="142"/>
        <w:jc w:val="both"/>
        <w:rPr>
          <w:rFonts w:ascii="Tenorite" w:eastAsia="Times New Roman" w:hAnsi="Tenorite" w:cs="Times New Roman"/>
          <w:color w:val="636363"/>
          <w:sz w:val="21"/>
          <w:szCs w:val="21"/>
          <w:lang w:eastAsia="fr-FR"/>
        </w:rPr>
      </w:pPr>
      <w:hyperlink r:id="rId52" w:history="1">
        <w:r w:rsidRPr="007611C3">
          <w:rPr>
            <w:rStyle w:val="Lienhypertexte"/>
            <w:rFonts w:ascii="Tenorite" w:eastAsia="Times New Roman" w:hAnsi="Tenorite" w:cs="Times New Roman"/>
            <w:sz w:val="21"/>
            <w:szCs w:val="21"/>
            <w:lang w:eastAsia="fr-FR"/>
          </w:rPr>
          <w:t>Décision</w:t>
        </w:r>
      </w:hyperlink>
      <w:r w:rsidRPr="007611C3">
        <w:rPr>
          <w:rFonts w:ascii="Tenorite" w:eastAsia="Times New Roman" w:hAnsi="Tenorite" w:cs="Times New Roman"/>
          <w:color w:val="636363"/>
          <w:sz w:val="21"/>
          <w:szCs w:val="21"/>
          <w:lang w:eastAsia="fr-FR"/>
        </w:rPr>
        <w:t xml:space="preserve"> d’exécution (UE) 2025/1777 de la Commission du 2 septembre 2025 modifiant l’annexe de la décision d’exécution (UE) 2023/2447 concernant des mesures d’urgence motivées par l’apparition de foyers d’influenza aviaire hautement pathogène dans certains États membres (JOUE 05/09/2025)</w:t>
      </w:r>
    </w:p>
    <w:p w14:paraId="33F99C87" w14:textId="77777777" w:rsidR="007611C3" w:rsidRPr="007611C3" w:rsidRDefault="007611C3" w:rsidP="007611C3">
      <w:pPr>
        <w:shd w:val="clear" w:color="auto" w:fill="FFFFFF"/>
        <w:spacing w:after="0" w:line="240" w:lineRule="auto"/>
        <w:ind w:left="142"/>
        <w:jc w:val="both"/>
        <w:rPr>
          <w:rFonts w:ascii="Tenorite" w:eastAsia="Times New Roman" w:hAnsi="Tenorite" w:cs="Times New Roman"/>
          <w:color w:val="636363"/>
          <w:sz w:val="21"/>
          <w:szCs w:val="21"/>
          <w:lang w:eastAsia="fr-FR"/>
        </w:rPr>
      </w:pPr>
    </w:p>
    <w:p w14:paraId="1352926C" w14:textId="77777777" w:rsidR="004A1CD1" w:rsidRPr="007611C3" w:rsidRDefault="004A1CD1" w:rsidP="007611C3">
      <w:pPr>
        <w:shd w:val="clear" w:color="auto" w:fill="FFFFFF"/>
        <w:spacing w:after="0" w:line="240" w:lineRule="auto"/>
        <w:ind w:left="142"/>
        <w:jc w:val="both"/>
        <w:rPr>
          <w:rFonts w:ascii="Tenorite" w:eastAsia="Times New Roman" w:hAnsi="Tenorite" w:cs="Times New Roman"/>
          <w:color w:val="636363"/>
          <w:sz w:val="21"/>
          <w:szCs w:val="21"/>
          <w:lang w:eastAsia="fr-FR"/>
        </w:rPr>
      </w:pPr>
      <w:hyperlink r:id="rId53" w:history="1">
        <w:r w:rsidRPr="007611C3">
          <w:rPr>
            <w:rStyle w:val="Lienhypertexte"/>
            <w:rFonts w:ascii="Tenorite" w:eastAsia="Times New Roman" w:hAnsi="Tenorite" w:cs="Times New Roman"/>
            <w:sz w:val="21"/>
            <w:szCs w:val="21"/>
            <w:lang w:eastAsia="fr-FR"/>
          </w:rPr>
          <w:t>Règlement</w:t>
        </w:r>
      </w:hyperlink>
      <w:r w:rsidRPr="007611C3">
        <w:rPr>
          <w:rFonts w:ascii="Tenorite" w:eastAsia="Times New Roman" w:hAnsi="Tenorite" w:cs="Times New Roman"/>
          <w:color w:val="636363"/>
          <w:sz w:val="21"/>
          <w:szCs w:val="21"/>
          <w:lang w:eastAsia="fr-FR"/>
        </w:rPr>
        <w:t xml:space="preserve"> d’exécution (UE) 2025/1882 de la Commission du 11 septembre 2025 modifiant l’annexe I du règlement d’exécution (UE) 2023/594 établissant des mesures spéciales de lutte contre la peste porcine africaine (JOUE 12/09/2025)</w:t>
      </w:r>
    </w:p>
    <w:p w14:paraId="61C7F6F0" w14:textId="77777777" w:rsidR="004A1CD1" w:rsidRPr="007611C3" w:rsidRDefault="004A1CD1" w:rsidP="007611C3">
      <w:pPr>
        <w:shd w:val="clear" w:color="auto" w:fill="FFFFFF"/>
        <w:spacing w:after="0" w:line="240" w:lineRule="auto"/>
        <w:ind w:left="142"/>
        <w:jc w:val="both"/>
        <w:rPr>
          <w:rFonts w:ascii="Tenorite" w:eastAsia="Times New Roman" w:hAnsi="Tenorite" w:cs="Times New Roman"/>
          <w:color w:val="636363"/>
          <w:sz w:val="21"/>
          <w:szCs w:val="21"/>
          <w:lang w:eastAsia="fr-FR"/>
        </w:rPr>
      </w:pPr>
    </w:p>
    <w:p w14:paraId="4F593223" w14:textId="77777777" w:rsidR="004A1CD1" w:rsidRDefault="004A1CD1" w:rsidP="007611C3">
      <w:pPr>
        <w:shd w:val="clear" w:color="auto" w:fill="FFFFFF"/>
        <w:spacing w:after="0" w:line="240" w:lineRule="auto"/>
        <w:ind w:left="142"/>
        <w:jc w:val="both"/>
        <w:rPr>
          <w:rFonts w:ascii="Tenorite" w:eastAsia="Times New Roman" w:hAnsi="Tenorite" w:cs="Times New Roman"/>
          <w:color w:val="636363"/>
          <w:sz w:val="21"/>
          <w:szCs w:val="21"/>
          <w:lang w:eastAsia="fr-FR"/>
        </w:rPr>
      </w:pPr>
      <w:hyperlink r:id="rId54" w:history="1">
        <w:r w:rsidRPr="007611C3">
          <w:rPr>
            <w:rStyle w:val="Lienhypertexte"/>
            <w:rFonts w:ascii="Tenorite" w:eastAsia="Times New Roman" w:hAnsi="Tenorite" w:cs="Times New Roman"/>
            <w:sz w:val="21"/>
            <w:szCs w:val="21"/>
            <w:lang w:eastAsia="fr-FR"/>
          </w:rPr>
          <w:t>Décision</w:t>
        </w:r>
      </w:hyperlink>
      <w:r w:rsidRPr="007611C3">
        <w:rPr>
          <w:rFonts w:ascii="Tenorite" w:eastAsia="Times New Roman" w:hAnsi="Tenorite" w:cs="Times New Roman"/>
          <w:color w:val="636363"/>
          <w:sz w:val="21"/>
          <w:szCs w:val="21"/>
          <w:lang w:eastAsia="fr-FR"/>
        </w:rPr>
        <w:t xml:space="preserve"> d’exécution (UE) 2025/1881 de la Commission du 11 septembre 2025 modifiant la période d’application et l’annexe de la décision d’exécution (UE) 2023/2447 concernant des mesures d’urgence motivées par l’apparition de foyers d’influenza aviaire hautement pathogène dans certains États membres (JOUE 16/09/2025)</w:t>
      </w:r>
    </w:p>
    <w:p w14:paraId="56925AF8" w14:textId="77777777" w:rsidR="007611C3" w:rsidRPr="007611C3" w:rsidRDefault="007611C3" w:rsidP="007611C3">
      <w:pPr>
        <w:shd w:val="clear" w:color="auto" w:fill="FFFFFF"/>
        <w:spacing w:after="0" w:line="240" w:lineRule="auto"/>
        <w:ind w:left="142"/>
        <w:jc w:val="both"/>
        <w:rPr>
          <w:rFonts w:ascii="Tenorite" w:eastAsia="Times New Roman" w:hAnsi="Tenorite" w:cs="Times New Roman"/>
          <w:color w:val="636363"/>
          <w:sz w:val="21"/>
          <w:szCs w:val="21"/>
          <w:lang w:eastAsia="fr-FR"/>
        </w:rPr>
      </w:pPr>
    </w:p>
    <w:p w14:paraId="2BE53BE3" w14:textId="77777777" w:rsidR="004A1CD1" w:rsidRDefault="004A1CD1" w:rsidP="007611C3">
      <w:pPr>
        <w:shd w:val="clear" w:color="auto" w:fill="FFFFFF"/>
        <w:spacing w:after="0" w:line="240" w:lineRule="auto"/>
        <w:ind w:left="142"/>
        <w:jc w:val="both"/>
        <w:rPr>
          <w:rFonts w:ascii="Tenorite" w:eastAsia="Times New Roman" w:hAnsi="Tenorite" w:cs="Times New Roman"/>
          <w:color w:val="636363"/>
          <w:sz w:val="21"/>
          <w:szCs w:val="21"/>
          <w:lang w:eastAsia="fr-FR"/>
        </w:rPr>
      </w:pPr>
      <w:hyperlink r:id="rId55" w:history="1">
        <w:r w:rsidRPr="007611C3">
          <w:rPr>
            <w:rStyle w:val="Lienhypertexte"/>
            <w:rFonts w:ascii="Tenorite" w:eastAsia="Times New Roman" w:hAnsi="Tenorite" w:cs="Times New Roman"/>
            <w:sz w:val="21"/>
            <w:szCs w:val="21"/>
            <w:lang w:eastAsia="fr-FR"/>
          </w:rPr>
          <w:t>Décision</w:t>
        </w:r>
      </w:hyperlink>
      <w:r w:rsidRPr="007611C3">
        <w:rPr>
          <w:rFonts w:ascii="Tenorite" w:eastAsia="Times New Roman" w:hAnsi="Tenorite" w:cs="Times New Roman"/>
          <w:color w:val="636363"/>
          <w:sz w:val="21"/>
          <w:szCs w:val="21"/>
          <w:lang w:eastAsia="fr-FR"/>
        </w:rPr>
        <w:t xml:space="preserve"> d’exécution (UE) 2025/1912 de la Commission du 17 septembre 2025 modifiant l’annexe de la décision d’exécution (UE) 2023/2447 concernant des mesures d’urgence motivées par l’apparition de foyers d’influenza aviaire hautement pathogène dans certains États membres (JOUE 19/09/2025)</w:t>
      </w:r>
    </w:p>
    <w:p w14:paraId="1B20CD7C" w14:textId="77777777" w:rsidR="007611C3" w:rsidRPr="007611C3" w:rsidRDefault="007611C3" w:rsidP="007611C3">
      <w:pPr>
        <w:shd w:val="clear" w:color="auto" w:fill="FFFFFF"/>
        <w:spacing w:after="0" w:line="240" w:lineRule="auto"/>
        <w:ind w:left="142"/>
        <w:jc w:val="both"/>
        <w:rPr>
          <w:rFonts w:ascii="Tenorite" w:eastAsia="Times New Roman" w:hAnsi="Tenorite" w:cs="Times New Roman"/>
          <w:color w:val="636363"/>
          <w:sz w:val="21"/>
          <w:szCs w:val="21"/>
          <w:lang w:eastAsia="fr-FR"/>
        </w:rPr>
      </w:pPr>
    </w:p>
    <w:p w14:paraId="14373EC5" w14:textId="77777777" w:rsidR="004A1CD1" w:rsidRPr="007611C3" w:rsidRDefault="004A1CD1" w:rsidP="007611C3">
      <w:pPr>
        <w:shd w:val="clear" w:color="auto" w:fill="FFFFFF"/>
        <w:spacing w:after="0" w:line="240" w:lineRule="auto"/>
        <w:ind w:left="142"/>
        <w:jc w:val="both"/>
        <w:rPr>
          <w:rFonts w:ascii="Tenorite" w:eastAsia="Times New Roman" w:hAnsi="Tenorite" w:cs="Times New Roman"/>
          <w:color w:val="636363"/>
          <w:sz w:val="21"/>
          <w:szCs w:val="21"/>
          <w:lang w:eastAsia="fr-FR"/>
        </w:rPr>
      </w:pPr>
      <w:hyperlink r:id="rId56" w:history="1">
        <w:r w:rsidRPr="007611C3">
          <w:rPr>
            <w:rStyle w:val="Lienhypertexte"/>
            <w:rFonts w:ascii="Tenorite" w:eastAsia="Times New Roman" w:hAnsi="Tenorite" w:cs="Times New Roman"/>
            <w:sz w:val="21"/>
            <w:szCs w:val="21"/>
            <w:lang w:eastAsia="fr-FR"/>
          </w:rPr>
          <w:t>Règlement</w:t>
        </w:r>
      </w:hyperlink>
      <w:r w:rsidRPr="007611C3">
        <w:rPr>
          <w:rFonts w:ascii="Tenorite" w:eastAsia="Times New Roman" w:hAnsi="Tenorite" w:cs="Times New Roman"/>
          <w:color w:val="636363"/>
          <w:sz w:val="21"/>
          <w:szCs w:val="21"/>
          <w:lang w:eastAsia="fr-FR"/>
        </w:rPr>
        <w:t xml:space="preserve"> d’exécution (UE) 2025/1924 de la Commission du 19 septembre 2025 modifiant l’annexe I du règlement d’exécution (UE) 2023/594 établissant des mesures spéciales de lutte contre la peste porcine africaine (JOUE 22/09/2025)</w:t>
      </w:r>
    </w:p>
    <w:p w14:paraId="115C2273" w14:textId="77777777" w:rsidR="007611C3" w:rsidRDefault="007611C3" w:rsidP="007611C3">
      <w:pPr>
        <w:shd w:val="clear" w:color="auto" w:fill="FFFFFF"/>
        <w:spacing w:after="0" w:line="240" w:lineRule="auto"/>
        <w:ind w:left="142"/>
        <w:jc w:val="both"/>
        <w:rPr>
          <w:rFonts w:ascii="Tenorite" w:hAnsi="Tenorite"/>
        </w:rPr>
      </w:pPr>
    </w:p>
    <w:p w14:paraId="266FD419" w14:textId="5477C20C" w:rsidR="004A1CD1" w:rsidRDefault="004A1CD1" w:rsidP="007611C3">
      <w:pPr>
        <w:shd w:val="clear" w:color="auto" w:fill="FFFFFF"/>
        <w:spacing w:after="0" w:line="240" w:lineRule="auto"/>
        <w:ind w:left="142"/>
        <w:jc w:val="both"/>
        <w:rPr>
          <w:rFonts w:ascii="Tenorite" w:eastAsia="Times New Roman" w:hAnsi="Tenorite" w:cs="Times New Roman"/>
          <w:color w:val="636363"/>
          <w:sz w:val="21"/>
          <w:szCs w:val="21"/>
          <w:lang w:eastAsia="fr-FR"/>
        </w:rPr>
      </w:pPr>
      <w:hyperlink r:id="rId57" w:history="1">
        <w:proofErr w:type="spellStart"/>
        <w:r w:rsidRPr="007611C3">
          <w:rPr>
            <w:rStyle w:val="Lienhypertexte"/>
            <w:rFonts w:ascii="Tenorite" w:eastAsia="Times New Roman" w:hAnsi="Tenorite" w:cs="Times New Roman"/>
            <w:sz w:val="21"/>
            <w:szCs w:val="21"/>
            <w:lang w:eastAsia="fr-FR"/>
          </w:rPr>
          <w:t>Décision</w:t>
        </w:r>
      </w:hyperlink>
      <w:r w:rsidRPr="007611C3">
        <w:rPr>
          <w:rFonts w:ascii="Tenorite" w:eastAsia="Times New Roman" w:hAnsi="Tenorite" w:cs="Times New Roman"/>
          <w:color w:val="636363"/>
          <w:sz w:val="21"/>
          <w:szCs w:val="21"/>
          <w:lang w:eastAsia="fr-FR"/>
        </w:rPr>
        <w:t>v</w:t>
      </w:r>
      <w:proofErr w:type="spellEnd"/>
      <w:r w:rsidRPr="007611C3">
        <w:rPr>
          <w:rFonts w:ascii="Tenorite" w:eastAsia="Times New Roman" w:hAnsi="Tenorite" w:cs="Times New Roman"/>
          <w:color w:val="636363"/>
          <w:sz w:val="21"/>
          <w:szCs w:val="21"/>
          <w:lang w:eastAsia="fr-FR"/>
        </w:rPr>
        <w:t xml:space="preserve"> d’exécution (UE) 2025/1927 de la Commission du 19 septembre 2025 modifiant l’annexe de la décision d’exécution (UE) 2023/2447 concernant des mesures d’urgence motivées par l’apparition de foyers d’influenza aviaire hautement pathogène dans certains États membres (JOUE 24/09/2025)</w:t>
      </w:r>
    </w:p>
    <w:p w14:paraId="6C3CE4A2" w14:textId="77777777" w:rsidR="007611C3" w:rsidRPr="007611C3" w:rsidRDefault="007611C3" w:rsidP="007611C3">
      <w:pPr>
        <w:shd w:val="clear" w:color="auto" w:fill="FFFFFF"/>
        <w:spacing w:after="0" w:line="240" w:lineRule="auto"/>
        <w:ind w:left="142"/>
        <w:jc w:val="both"/>
        <w:rPr>
          <w:rFonts w:ascii="Tenorite" w:eastAsia="Times New Roman" w:hAnsi="Tenorite" w:cs="Times New Roman"/>
          <w:color w:val="636363"/>
          <w:sz w:val="21"/>
          <w:szCs w:val="21"/>
          <w:lang w:eastAsia="fr-FR"/>
        </w:rPr>
      </w:pPr>
    </w:p>
    <w:bookmarkStart w:id="2" w:name="_Hlk210771470"/>
    <w:p w14:paraId="2B289654" w14:textId="77777777" w:rsidR="004A1CD1" w:rsidRDefault="004A1CD1" w:rsidP="007611C3">
      <w:pPr>
        <w:shd w:val="clear" w:color="auto" w:fill="FFFFFF"/>
        <w:spacing w:after="0" w:line="240" w:lineRule="auto"/>
        <w:ind w:left="142"/>
        <w:jc w:val="both"/>
        <w:rPr>
          <w:rFonts w:ascii="Tenorite" w:eastAsia="Times New Roman" w:hAnsi="Tenorite" w:cs="Times New Roman"/>
          <w:color w:val="636363"/>
          <w:sz w:val="21"/>
          <w:szCs w:val="21"/>
          <w:lang w:eastAsia="fr-FR"/>
        </w:rPr>
      </w:pPr>
      <w:r w:rsidRPr="007611C3">
        <w:rPr>
          <w:rFonts w:ascii="Tenorite" w:eastAsia="Times New Roman" w:hAnsi="Tenorite" w:cs="Times New Roman"/>
          <w:color w:val="636363"/>
          <w:sz w:val="21"/>
          <w:szCs w:val="21"/>
          <w:lang w:eastAsia="fr-FR"/>
        </w:rPr>
        <w:fldChar w:fldCharType="begin"/>
      </w:r>
      <w:r w:rsidRPr="007611C3">
        <w:rPr>
          <w:rFonts w:ascii="Tenorite" w:eastAsia="Times New Roman" w:hAnsi="Tenorite" w:cs="Times New Roman"/>
          <w:color w:val="636363"/>
          <w:sz w:val="21"/>
          <w:szCs w:val="21"/>
          <w:lang w:eastAsia="fr-FR"/>
        </w:rPr>
        <w:instrText>HYPERLINK "https://eur-lex.europa.eu/legal-content/FR/TXT/PDF/?uri=OJ:L_202501921"</w:instrText>
      </w:r>
      <w:r w:rsidRPr="007611C3">
        <w:rPr>
          <w:rFonts w:ascii="Tenorite" w:eastAsia="Times New Roman" w:hAnsi="Tenorite" w:cs="Times New Roman"/>
          <w:color w:val="636363"/>
          <w:sz w:val="21"/>
          <w:szCs w:val="21"/>
          <w:lang w:eastAsia="fr-FR"/>
        </w:rPr>
      </w:r>
      <w:r w:rsidRPr="007611C3">
        <w:rPr>
          <w:rFonts w:ascii="Tenorite" w:eastAsia="Times New Roman" w:hAnsi="Tenorite" w:cs="Times New Roman"/>
          <w:color w:val="636363"/>
          <w:sz w:val="21"/>
          <w:szCs w:val="21"/>
          <w:lang w:eastAsia="fr-FR"/>
        </w:rPr>
        <w:fldChar w:fldCharType="separate"/>
      </w:r>
      <w:r w:rsidRPr="007611C3">
        <w:rPr>
          <w:rStyle w:val="Lienhypertexte"/>
          <w:rFonts w:ascii="Tenorite" w:eastAsia="Times New Roman" w:hAnsi="Tenorite" w:cs="Times New Roman"/>
          <w:sz w:val="21"/>
          <w:szCs w:val="21"/>
          <w:lang w:eastAsia="fr-FR"/>
        </w:rPr>
        <w:t>Décision</w:t>
      </w:r>
      <w:r w:rsidRPr="007611C3">
        <w:rPr>
          <w:rFonts w:ascii="Tenorite" w:eastAsia="Times New Roman" w:hAnsi="Tenorite" w:cs="Times New Roman"/>
          <w:color w:val="636363"/>
          <w:sz w:val="21"/>
          <w:szCs w:val="21"/>
          <w:lang w:eastAsia="fr-FR"/>
        </w:rPr>
        <w:fldChar w:fldCharType="end"/>
      </w:r>
      <w:bookmarkEnd w:id="2"/>
      <w:r w:rsidRPr="007611C3">
        <w:rPr>
          <w:rFonts w:ascii="Tenorite" w:eastAsia="Times New Roman" w:hAnsi="Tenorite" w:cs="Times New Roman"/>
          <w:color w:val="636363"/>
          <w:sz w:val="21"/>
          <w:szCs w:val="21"/>
          <w:lang w:eastAsia="fr-FR"/>
        </w:rPr>
        <w:t xml:space="preserve"> d’exécution (UE) 2025/1921 de la Commission du 19 septembre 2025 modifiant la décision d’exécution (UE) 2024/3238 concernant certaines mesures d’urgence relatives à l’infection par le virus de la peste des petits ruminants en Bulgarie (JOUE 25/09/2025)</w:t>
      </w:r>
    </w:p>
    <w:p w14:paraId="0C385A8F" w14:textId="77777777" w:rsidR="007611C3" w:rsidRPr="007611C3" w:rsidRDefault="007611C3" w:rsidP="007611C3">
      <w:pPr>
        <w:shd w:val="clear" w:color="auto" w:fill="FFFFFF"/>
        <w:spacing w:after="0" w:line="240" w:lineRule="auto"/>
        <w:ind w:left="142"/>
        <w:jc w:val="both"/>
        <w:rPr>
          <w:rFonts w:ascii="Tenorite" w:eastAsia="Times New Roman" w:hAnsi="Tenorite" w:cs="Times New Roman"/>
          <w:color w:val="636363"/>
          <w:sz w:val="21"/>
          <w:szCs w:val="21"/>
          <w:lang w:eastAsia="fr-FR"/>
        </w:rPr>
      </w:pPr>
    </w:p>
    <w:p w14:paraId="4F1BE6C9" w14:textId="77777777" w:rsidR="004A1CD1" w:rsidRDefault="004A1CD1" w:rsidP="007611C3">
      <w:pPr>
        <w:shd w:val="clear" w:color="auto" w:fill="FFFFFF"/>
        <w:spacing w:after="0" w:line="240" w:lineRule="auto"/>
        <w:ind w:left="142"/>
        <w:jc w:val="both"/>
        <w:rPr>
          <w:rFonts w:ascii="Tenorite" w:eastAsia="Times New Roman" w:hAnsi="Tenorite" w:cs="Times New Roman"/>
          <w:color w:val="636363"/>
          <w:sz w:val="21"/>
          <w:szCs w:val="21"/>
          <w:lang w:eastAsia="fr-FR"/>
        </w:rPr>
      </w:pPr>
      <w:hyperlink r:id="rId58" w:history="1">
        <w:r w:rsidRPr="007611C3">
          <w:rPr>
            <w:rStyle w:val="Lienhypertexte"/>
            <w:rFonts w:ascii="Tenorite" w:eastAsia="Times New Roman" w:hAnsi="Tenorite" w:cs="Times New Roman"/>
            <w:sz w:val="21"/>
            <w:szCs w:val="21"/>
            <w:lang w:eastAsia="fr-FR"/>
          </w:rPr>
          <w:t>Décision</w:t>
        </w:r>
      </w:hyperlink>
      <w:r w:rsidRPr="007611C3">
        <w:rPr>
          <w:rFonts w:ascii="Tenorite" w:eastAsia="Times New Roman" w:hAnsi="Tenorite" w:cs="Times New Roman"/>
          <w:color w:val="636363"/>
          <w:sz w:val="21"/>
          <w:szCs w:val="21"/>
          <w:lang w:eastAsia="fr-FR"/>
        </w:rPr>
        <w:t xml:space="preserve"> d’exécution (UE) 2025/1922 de la Commission du 19 septembre 2025 modifiant la décision d’exécution (UE) 2025/638 concernant certaines mesures d’urgence relatives à l’infection par le virus de la peste des petits ruminants en Roumanie (JOUE 25/09/2025)</w:t>
      </w:r>
    </w:p>
    <w:p w14:paraId="618054A7" w14:textId="77777777" w:rsidR="007611C3" w:rsidRPr="007611C3" w:rsidRDefault="007611C3" w:rsidP="007611C3">
      <w:pPr>
        <w:shd w:val="clear" w:color="auto" w:fill="FFFFFF"/>
        <w:spacing w:after="0" w:line="240" w:lineRule="auto"/>
        <w:ind w:left="142"/>
        <w:jc w:val="both"/>
        <w:rPr>
          <w:rFonts w:ascii="Tenorite" w:eastAsia="Times New Roman" w:hAnsi="Tenorite" w:cs="Times New Roman"/>
          <w:color w:val="636363"/>
          <w:sz w:val="21"/>
          <w:szCs w:val="21"/>
          <w:lang w:eastAsia="fr-FR"/>
        </w:rPr>
      </w:pPr>
    </w:p>
    <w:p w14:paraId="7C7197CA" w14:textId="77777777" w:rsidR="004A1CD1" w:rsidRDefault="004A1CD1" w:rsidP="007611C3">
      <w:pPr>
        <w:shd w:val="clear" w:color="auto" w:fill="FFFFFF"/>
        <w:spacing w:after="0" w:line="240" w:lineRule="auto"/>
        <w:ind w:left="142"/>
        <w:jc w:val="both"/>
        <w:rPr>
          <w:rFonts w:ascii="Tenorite" w:eastAsia="Times New Roman" w:hAnsi="Tenorite" w:cs="Times New Roman"/>
          <w:color w:val="636363"/>
          <w:sz w:val="21"/>
          <w:szCs w:val="21"/>
          <w:lang w:eastAsia="fr-FR"/>
        </w:rPr>
      </w:pPr>
      <w:hyperlink r:id="rId59" w:history="1">
        <w:r w:rsidRPr="007611C3">
          <w:rPr>
            <w:rStyle w:val="Lienhypertexte"/>
            <w:rFonts w:ascii="Tenorite" w:eastAsia="Times New Roman" w:hAnsi="Tenorite" w:cs="Times New Roman"/>
            <w:sz w:val="21"/>
            <w:szCs w:val="21"/>
            <w:lang w:eastAsia="fr-FR"/>
          </w:rPr>
          <w:t>Décision</w:t>
        </w:r>
      </w:hyperlink>
      <w:r w:rsidRPr="007611C3">
        <w:rPr>
          <w:rFonts w:ascii="Tenorite" w:eastAsia="Times New Roman" w:hAnsi="Tenorite" w:cs="Times New Roman"/>
          <w:color w:val="636363"/>
          <w:sz w:val="21"/>
          <w:szCs w:val="21"/>
          <w:lang w:eastAsia="fr-FR"/>
        </w:rPr>
        <w:t xml:space="preserve"> d’exécution (UE) 2025/1931 de la Commission du 22 septembre 2025 modifiant la décision d’exécution (UE) 2025/1708 concernant certaines mesures d’urgence relatives à l’infection par le virus de la dermatose nodulaire contagieuse en France (JOUE 25/09/2025)</w:t>
      </w:r>
    </w:p>
    <w:p w14:paraId="10868E47" w14:textId="77777777" w:rsidR="007611C3" w:rsidRPr="007611C3" w:rsidRDefault="007611C3" w:rsidP="007611C3">
      <w:pPr>
        <w:shd w:val="clear" w:color="auto" w:fill="FFFFFF"/>
        <w:spacing w:after="0" w:line="240" w:lineRule="auto"/>
        <w:ind w:left="142"/>
        <w:jc w:val="both"/>
        <w:rPr>
          <w:rFonts w:ascii="Tenorite" w:eastAsia="Times New Roman" w:hAnsi="Tenorite" w:cs="Times New Roman"/>
          <w:color w:val="636363"/>
          <w:sz w:val="21"/>
          <w:szCs w:val="21"/>
          <w:lang w:eastAsia="fr-FR"/>
        </w:rPr>
      </w:pPr>
    </w:p>
    <w:p w14:paraId="2CD91A5E" w14:textId="77777777" w:rsidR="004A1CD1" w:rsidRDefault="004A1CD1" w:rsidP="007611C3">
      <w:pPr>
        <w:shd w:val="clear" w:color="auto" w:fill="FFFFFF"/>
        <w:spacing w:after="0" w:line="240" w:lineRule="auto"/>
        <w:ind w:left="142"/>
        <w:jc w:val="both"/>
        <w:rPr>
          <w:rFonts w:ascii="Tenorite" w:eastAsia="Times New Roman" w:hAnsi="Tenorite" w:cs="Times New Roman"/>
          <w:color w:val="636363"/>
          <w:sz w:val="21"/>
          <w:szCs w:val="21"/>
          <w:lang w:eastAsia="fr-FR"/>
        </w:rPr>
      </w:pPr>
      <w:hyperlink r:id="rId60" w:history="1">
        <w:r w:rsidRPr="007611C3">
          <w:rPr>
            <w:rStyle w:val="Lienhypertexte"/>
            <w:rFonts w:ascii="Tenorite" w:eastAsia="Times New Roman" w:hAnsi="Tenorite" w:cs="Times New Roman"/>
            <w:sz w:val="21"/>
            <w:szCs w:val="21"/>
            <w:lang w:eastAsia="fr-FR"/>
          </w:rPr>
          <w:t>Décision</w:t>
        </w:r>
      </w:hyperlink>
      <w:r w:rsidRPr="007611C3">
        <w:rPr>
          <w:rFonts w:ascii="Tenorite" w:eastAsia="Times New Roman" w:hAnsi="Tenorite" w:cs="Times New Roman"/>
          <w:color w:val="636363"/>
          <w:sz w:val="21"/>
          <w:szCs w:val="21"/>
          <w:lang w:eastAsia="fr-FR"/>
        </w:rPr>
        <w:t xml:space="preserve"> d’exécution (UE) 2025/1954 de la Commission du 22 septembre 2025 modifiant l’annexe de la décision d’exécution (UE) 2025/1767 concernant certaines mesures d’urgence relatives à la clavelée et à la variole caprine en Roumanie (JOUE 26/09/2025)</w:t>
      </w:r>
    </w:p>
    <w:p w14:paraId="2EF3DF57" w14:textId="77777777" w:rsidR="007611C3" w:rsidRPr="007611C3" w:rsidRDefault="007611C3" w:rsidP="007611C3">
      <w:pPr>
        <w:shd w:val="clear" w:color="auto" w:fill="FFFFFF"/>
        <w:spacing w:after="0" w:line="240" w:lineRule="auto"/>
        <w:ind w:left="142"/>
        <w:jc w:val="both"/>
        <w:rPr>
          <w:rFonts w:ascii="Tenorite" w:eastAsia="Times New Roman" w:hAnsi="Tenorite" w:cs="Times New Roman"/>
          <w:color w:val="636363"/>
          <w:sz w:val="21"/>
          <w:szCs w:val="21"/>
          <w:lang w:eastAsia="fr-FR"/>
        </w:rPr>
      </w:pPr>
    </w:p>
    <w:p w14:paraId="1FD556E6" w14:textId="77777777" w:rsidR="004A1CD1" w:rsidRPr="007611C3" w:rsidRDefault="004A1CD1" w:rsidP="007611C3">
      <w:pPr>
        <w:shd w:val="clear" w:color="auto" w:fill="FFFFFF"/>
        <w:spacing w:after="0" w:line="240" w:lineRule="auto"/>
        <w:ind w:left="142"/>
        <w:jc w:val="both"/>
        <w:rPr>
          <w:rFonts w:ascii="Tenorite" w:eastAsia="Times New Roman" w:hAnsi="Tenorite" w:cs="Times New Roman"/>
          <w:color w:val="636363"/>
          <w:sz w:val="21"/>
          <w:szCs w:val="21"/>
          <w:lang w:eastAsia="fr-FR"/>
        </w:rPr>
      </w:pPr>
      <w:hyperlink r:id="rId61" w:history="1">
        <w:r w:rsidRPr="007611C3">
          <w:rPr>
            <w:rStyle w:val="Lienhypertexte"/>
            <w:rFonts w:ascii="Tenorite" w:eastAsia="Times New Roman" w:hAnsi="Tenorite" w:cs="Times New Roman"/>
            <w:sz w:val="21"/>
            <w:szCs w:val="21"/>
            <w:lang w:eastAsia="fr-FR"/>
          </w:rPr>
          <w:t>Décision</w:t>
        </w:r>
      </w:hyperlink>
      <w:r w:rsidRPr="007611C3">
        <w:rPr>
          <w:rFonts w:ascii="Tenorite" w:eastAsia="Times New Roman" w:hAnsi="Tenorite" w:cs="Times New Roman"/>
          <w:color w:val="636363"/>
          <w:sz w:val="21"/>
          <w:szCs w:val="21"/>
          <w:lang w:eastAsia="fr-FR"/>
        </w:rPr>
        <w:t xml:space="preserve"> d’exécution (UE) 2025/1938 de la Commission du 22 septembre 2025 modifiant la décision d’exécution (UE) 2025/1582 concernant certaines mesures d’urgence relatives à l’infection par le virus de la dermatose nodulaire contagieuse en Italie (JOUE 26/09/2025)</w:t>
      </w:r>
    </w:p>
    <w:p w14:paraId="771FAE4B" w14:textId="77777777" w:rsidR="00DF6016" w:rsidRPr="008B535C" w:rsidRDefault="00DF6016" w:rsidP="008B535C">
      <w:pPr>
        <w:spacing w:after="0" w:line="240" w:lineRule="auto"/>
        <w:ind w:left="142" w:hanging="283"/>
        <w:jc w:val="both"/>
        <w:rPr>
          <w:rFonts w:ascii="Tenorite" w:hAnsi="Tenorite"/>
          <w:color w:val="C45911" w:themeColor="accent2" w:themeShade="BF"/>
        </w:rPr>
      </w:pPr>
    </w:p>
    <w:sectPr w:rsidR="00DF6016" w:rsidRPr="008B535C" w:rsidSect="00333853">
      <w:headerReference w:type="even" r:id="rId62"/>
      <w:headerReference w:type="default" r:id="rId63"/>
      <w:footerReference w:type="default" r:id="rId64"/>
      <w:headerReference w:type="first" r:id="rId65"/>
      <w:pgSz w:w="11906" w:h="16838"/>
      <w:pgMar w:top="1417" w:right="282" w:bottom="709" w:left="426" w:header="284" w:footer="3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294780" w14:textId="77777777" w:rsidR="00354F21" w:rsidRDefault="00354F21" w:rsidP="000C0DEF">
      <w:pPr>
        <w:spacing w:after="0" w:line="240" w:lineRule="auto"/>
      </w:pPr>
      <w:r>
        <w:separator/>
      </w:r>
    </w:p>
  </w:endnote>
  <w:endnote w:type="continuationSeparator" w:id="0">
    <w:p w14:paraId="67898DB6" w14:textId="77777777" w:rsidR="00354F21" w:rsidRDefault="00354F21" w:rsidP="000C0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enorite">
    <w:charset w:val="00"/>
    <w:family w:val="auto"/>
    <w:pitch w:val="variable"/>
    <w:sig w:usb0="80000003" w:usb1="00000001"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705ED" w14:textId="3D8E5F86" w:rsidR="000C0DEF" w:rsidRDefault="00DE7068" w:rsidP="000C0DEF">
    <w:pPr>
      <w:pStyle w:val="Pieddepage"/>
      <w:tabs>
        <w:tab w:val="clear" w:pos="4536"/>
        <w:tab w:val="clear" w:pos="9072"/>
        <w:tab w:val="left" w:pos="3210"/>
      </w:tabs>
      <w:ind w:right="1133"/>
      <w:jc w:val="center"/>
    </w:pPr>
    <w:r>
      <w:t xml:space="preserve">Page </w:t>
    </w:r>
    <w:r>
      <w:rPr>
        <w:b/>
        <w:bCs/>
      </w:rPr>
      <w:fldChar w:fldCharType="begin"/>
    </w:r>
    <w:r>
      <w:rPr>
        <w:b/>
        <w:bCs/>
      </w:rPr>
      <w:instrText>PAGE  \* Arabic  \* MERGEFORMAT</w:instrText>
    </w:r>
    <w:r>
      <w:rPr>
        <w:b/>
        <w:bCs/>
      </w:rPr>
      <w:fldChar w:fldCharType="separate"/>
    </w:r>
    <w:r>
      <w:rPr>
        <w:b/>
        <w:bCs/>
      </w:rPr>
      <w:t>1</w:t>
    </w:r>
    <w:r>
      <w:rPr>
        <w:b/>
        <w:bCs/>
      </w:rPr>
      <w:fldChar w:fldCharType="end"/>
    </w:r>
    <w:r>
      <w:t xml:space="preserve"> sur </w:t>
    </w:r>
    <w:r>
      <w:rPr>
        <w:b/>
        <w:bCs/>
      </w:rPr>
      <w:fldChar w:fldCharType="begin"/>
    </w:r>
    <w:r>
      <w:rPr>
        <w:b/>
        <w:bCs/>
      </w:rPr>
      <w:instrText>NUMPAGES  \* Arabic  \* MERGEFORMAT</w:instrText>
    </w:r>
    <w:r>
      <w:rPr>
        <w:b/>
        <w:bCs/>
      </w:rPr>
      <w:fldChar w:fldCharType="separate"/>
    </w:r>
    <w:r>
      <w:rPr>
        <w:b/>
        <w:bCs/>
      </w:rPr>
      <w:t>2</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619326" w14:textId="77777777" w:rsidR="00354F21" w:rsidRDefault="00354F21" w:rsidP="000C0DEF">
      <w:pPr>
        <w:spacing w:after="0" w:line="240" w:lineRule="auto"/>
      </w:pPr>
      <w:r>
        <w:separator/>
      </w:r>
    </w:p>
  </w:footnote>
  <w:footnote w:type="continuationSeparator" w:id="0">
    <w:p w14:paraId="721F56C7" w14:textId="77777777" w:rsidR="00354F21" w:rsidRDefault="00354F21" w:rsidP="000C0D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D1E1D" w14:textId="77777777" w:rsidR="000C0DEF" w:rsidRDefault="00CB7D5D">
    <w:pPr>
      <w:pStyle w:val="En-tte"/>
    </w:pPr>
    <w:r>
      <w:rPr>
        <w:noProof/>
        <w:lang w:eastAsia="fr-FR"/>
      </w:rPr>
      <w:pict w14:anchorId="6EF61E2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3" o:spid="_x0000_s1032" type="#_x0000_t75" style="position:absolute;margin-left:0;margin-top:0;width:559.55pt;height:387.35pt;z-index:-251650048;mso-position-horizontal:center;mso-position-horizontal-relative:margin;mso-position-vertical:center;mso-position-vertical-relative:margin" o:allowincell="f">
          <v:imagedata r:id="rId1" o:title="filigramme sourire FIP"/>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CFCFD" w14:textId="0F85D078" w:rsidR="000C0DEF" w:rsidRPr="000C0DEF" w:rsidRDefault="00CB7D5D" w:rsidP="005F3EA3">
    <w:pPr>
      <w:pStyle w:val="En-tte"/>
    </w:pPr>
    <w:r>
      <w:rPr>
        <w:rFonts w:ascii="Trebuchet MS" w:hAnsi="Trebuchet MS" w:cs="Tahoma"/>
        <w:b/>
        <w:noProof/>
        <w:color w:val="EF671A"/>
        <w:sz w:val="28"/>
        <w:szCs w:val="28"/>
      </w:rPr>
      <mc:AlternateContent>
        <mc:Choice Requires="wps">
          <w:drawing>
            <wp:anchor distT="0" distB="0" distL="114300" distR="114300" simplePos="0" relativeHeight="251669504" behindDoc="0" locked="0" layoutInCell="1" allowOverlap="1" wp14:anchorId="1B9B5600" wp14:editId="64543563">
              <wp:simplePos x="0" y="0"/>
              <wp:positionH relativeFrom="column">
                <wp:posOffset>1123950</wp:posOffset>
              </wp:positionH>
              <wp:positionV relativeFrom="paragraph">
                <wp:posOffset>5715</wp:posOffset>
              </wp:positionV>
              <wp:extent cx="5472332" cy="583809"/>
              <wp:effectExtent l="0" t="0" r="14605" b="26035"/>
              <wp:wrapNone/>
              <wp:docPr id="345504159" name="Zone de texte 2"/>
              <wp:cNvGraphicFramePr/>
              <a:graphic xmlns:a="http://schemas.openxmlformats.org/drawingml/2006/main">
                <a:graphicData uri="http://schemas.microsoft.com/office/word/2010/wordprocessingShape">
                  <wps:wsp>
                    <wps:cNvSpPr txBox="1"/>
                    <wps:spPr>
                      <a:xfrm>
                        <a:off x="0" y="0"/>
                        <a:ext cx="5472332" cy="583809"/>
                      </a:xfrm>
                      <a:prstGeom prst="rect">
                        <a:avLst/>
                      </a:prstGeom>
                      <a:solidFill>
                        <a:schemeClr val="lt1"/>
                      </a:solidFill>
                      <a:ln w="6350">
                        <a:solidFill>
                          <a:prstClr val="black"/>
                        </a:solidFill>
                      </a:ln>
                    </wps:spPr>
                    <wps:txbx>
                      <w:txbxContent>
                        <w:p w14:paraId="58B3E449" w14:textId="77777777" w:rsidR="00CB7D5D" w:rsidRDefault="00CB7D5D" w:rsidP="00CB7D5D">
                          <w:pPr>
                            <w:spacing w:after="0" w:line="240" w:lineRule="auto"/>
                            <w:jc w:val="center"/>
                            <w:rPr>
                              <w:rFonts w:ascii="Tenorite" w:hAnsi="Tenorite" w:cs="Tahoma"/>
                              <w:b/>
                              <w:color w:val="EF671A"/>
                              <w:sz w:val="28"/>
                              <w:szCs w:val="28"/>
                            </w:rPr>
                          </w:pPr>
                          <w:r w:rsidRPr="005F3EA3">
                            <w:rPr>
                              <w:rFonts w:ascii="Tenorite" w:hAnsi="Tenorite" w:cs="Tahoma"/>
                              <w:b/>
                              <w:color w:val="EF671A"/>
                              <w:sz w:val="28"/>
                              <w:szCs w:val="28"/>
                            </w:rPr>
                            <w:t>BULLETIN DE VEILLE REGLEMENTAIRE</w:t>
                          </w:r>
                        </w:p>
                        <w:p w14:paraId="0849BA89" w14:textId="77777777" w:rsidR="00CB7D5D" w:rsidRPr="005F3EA3" w:rsidRDefault="00CB7D5D" w:rsidP="00CB7D5D">
                          <w:pPr>
                            <w:spacing w:after="0" w:line="240" w:lineRule="auto"/>
                            <w:jc w:val="center"/>
                            <w:rPr>
                              <w:rFonts w:ascii="Tenorite" w:hAnsi="Tenorite" w:cs="Tahoma"/>
                              <w:b/>
                              <w:color w:val="EF671A"/>
                              <w:sz w:val="28"/>
                              <w:szCs w:val="28"/>
                            </w:rPr>
                          </w:pPr>
                          <w:r w:rsidRPr="005F3EA3">
                            <w:rPr>
                              <w:rFonts w:ascii="Tenorite" w:hAnsi="Tenorite" w:cs="Tahoma"/>
                              <w:b/>
                              <w:color w:val="EF671A"/>
                              <w:sz w:val="28"/>
                              <w:szCs w:val="28"/>
                            </w:rPr>
                            <w:t>Bulletin n°</w:t>
                          </w:r>
                          <w:r>
                            <w:rPr>
                              <w:rFonts w:ascii="Tenorite" w:hAnsi="Tenorite" w:cs="Tahoma"/>
                              <w:b/>
                              <w:color w:val="EF671A"/>
                              <w:sz w:val="28"/>
                              <w:szCs w:val="28"/>
                            </w:rPr>
                            <w:t xml:space="preserve">8 </w:t>
                          </w:r>
                          <w:r w:rsidRPr="005F3EA3">
                            <w:rPr>
                              <w:rFonts w:ascii="Tenorite" w:hAnsi="Tenorite" w:cs="Tahoma"/>
                              <w:b/>
                              <w:color w:val="EF671A"/>
                              <w:sz w:val="28"/>
                              <w:szCs w:val="28"/>
                            </w:rPr>
                            <w:t xml:space="preserve">du 1er </w:t>
                          </w:r>
                          <w:r>
                            <w:rPr>
                              <w:rFonts w:ascii="Tenorite" w:hAnsi="Tenorite" w:cs="Tahoma"/>
                              <w:b/>
                              <w:color w:val="EF671A"/>
                              <w:sz w:val="28"/>
                              <w:szCs w:val="28"/>
                            </w:rPr>
                            <w:t>au 30 Septembre</w:t>
                          </w:r>
                          <w:r w:rsidRPr="005F3EA3">
                            <w:rPr>
                              <w:rFonts w:ascii="Tenorite" w:hAnsi="Tenorite" w:cs="Tahoma"/>
                              <w:b/>
                              <w:color w:val="EF671A"/>
                              <w:sz w:val="28"/>
                              <w:szCs w:val="28"/>
                            </w:rPr>
                            <w:t xml:space="preserve"> 202</w:t>
                          </w:r>
                          <w:r>
                            <w:rPr>
                              <w:rFonts w:ascii="Tenorite" w:hAnsi="Tenorite" w:cs="Tahoma"/>
                              <w:b/>
                              <w:color w:val="EF671A"/>
                              <w:sz w:val="28"/>
                              <w:szCs w:val="28"/>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B9B5600" id="_x0000_t202" coordsize="21600,21600" o:spt="202" path="m,l,21600r21600,l21600,xe">
              <v:stroke joinstyle="miter"/>
              <v:path gradientshapeok="t" o:connecttype="rect"/>
            </v:shapetype>
            <v:shape id="Zone de texte 2" o:spid="_x0000_s1026" type="#_x0000_t202" style="position:absolute;margin-left:88.5pt;margin-top:.45pt;width:430.9pt;height:45.9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" fillcolor="white [3201]" strokeweight=".5pt">
              <v:textbox>
                <w:txbxContent>
                  <w:p w14:paraId="58B3E449" w14:textId="77777777" w:rsidR="00CB7D5D" w:rsidRDefault="00CB7D5D" w:rsidP="00CB7D5D">
                    <w:pPr>
                      <w:spacing w:after="0" w:line="240" w:lineRule="auto"/>
                      <w:jc w:val="center"/>
                      <w:rPr>
                        <w:rFonts w:ascii="Tenorite" w:hAnsi="Tenorite" w:cs="Tahoma"/>
                        <w:b/>
                        <w:color w:val="EF671A"/>
                        <w:sz w:val="28"/>
                        <w:szCs w:val="28"/>
                      </w:rPr>
                    </w:pPr>
                    <w:r w:rsidRPr="005F3EA3">
                      <w:rPr>
                        <w:rFonts w:ascii="Tenorite" w:hAnsi="Tenorite" w:cs="Tahoma"/>
                        <w:b/>
                        <w:color w:val="EF671A"/>
                        <w:sz w:val="28"/>
                        <w:szCs w:val="28"/>
                      </w:rPr>
                      <w:t>BULLETIN DE VEILLE REGLEMENTAIRE</w:t>
                    </w:r>
                  </w:p>
                  <w:p w14:paraId="0849BA89" w14:textId="77777777" w:rsidR="00CB7D5D" w:rsidRPr="005F3EA3" w:rsidRDefault="00CB7D5D" w:rsidP="00CB7D5D">
                    <w:pPr>
                      <w:spacing w:after="0" w:line="240" w:lineRule="auto"/>
                      <w:jc w:val="center"/>
                      <w:rPr>
                        <w:rFonts w:ascii="Tenorite" w:hAnsi="Tenorite" w:cs="Tahoma"/>
                        <w:b/>
                        <w:color w:val="EF671A"/>
                        <w:sz w:val="28"/>
                        <w:szCs w:val="28"/>
                      </w:rPr>
                    </w:pPr>
                    <w:r w:rsidRPr="005F3EA3">
                      <w:rPr>
                        <w:rFonts w:ascii="Tenorite" w:hAnsi="Tenorite" w:cs="Tahoma"/>
                        <w:b/>
                        <w:color w:val="EF671A"/>
                        <w:sz w:val="28"/>
                        <w:szCs w:val="28"/>
                      </w:rPr>
                      <w:t>Bulletin n°</w:t>
                    </w:r>
                    <w:r>
                      <w:rPr>
                        <w:rFonts w:ascii="Tenorite" w:hAnsi="Tenorite" w:cs="Tahoma"/>
                        <w:b/>
                        <w:color w:val="EF671A"/>
                        <w:sz w:val="28"/>
                        <w:szCs w:val="28"/>
                      </w:rPr>
                      <w:t xml:space="preserve">8 </w:t>
                    </w:r>
                    <w:r w:rsidRPr="005F3EA3">
                      <w:rPr>
                        <w:rFonts w:ascii="Tenorite" w:hAnsi="Tenorite" w:cs="Tahoma"/>
                        <w:b/>
                        <w:color w:val="EF671A"/>
                        <w:sz w:val="28"/>
                        <w:szCs w:val="28"/>
                      </w:rPr>
                      <w:t xml:space="preserve">du 1er </w:t>
                    </w:r>
                    <w:r>
                      <w:rPr>
                        <w:rFonts w:ascii="Tenorite" w:hAnsi="Tenorite" w:cs="Tahoma"/>
                        <w:b/>
                        <w:color w:val="EF671A"/>
                        <w:sz w:val="28"/>
                        <w:szCs w:val="28"/>
                      </w:rPr>
                      <w:t>au 30 Septembre</w:t>
                    </w:r>
                    <w:r w:rsidRPr="005F3EA3">
                      <w:rPr>
                        <w:rFonts w:ascii="Tenorite" w:hAnsi="Tenorite" w:cs="Tahoma"/>
                        <w:b/>
                        <w:color w:val="EF671A"/>
                        <w:sz w:val="28"/>
                        <w:szCs w:val="28"/>
                      </w:rPr>
                      <w:t xml:space="preserve"> 202</w:t>
                    </w:r>
                    <w:r>
                      <w:rPr>
                        <w:rFonts w:ascii="Tenorite" w:hAnsi="Tenorite" w:cs="Tahoma"/>
                        <w:b/>
                        <w:color w:val="EF671A"/>
                        <w:sz w:val="28"/>
                        <w:szCs w:val="28"/>
                      </w:rPr>
                      <w:t>5</w:t>
                    </w:r>
                  </w:p>
                </w:txbxContent>
              </v:textbox>
            </v:shape>
          </w:pict>
        </mc:Fallback>
      </mc:AlternateContent>
    </w:r>
    <w:r>
      <w:rPr>
        <w:noProof/>
      </w:rPr>
      <w:drawing>
        <wp:inline distT="0" distB="0" distL="0" distR="0" wp14:anchorId="67FD6DBE" wp14:editId="0067F96E">
          <wp:extent cx="518160" cy="632460"/>
          <wp:effectExtent l="0" t="0" r="0" b="0"/>
          <wp:docPr id="143552357" name="Image 1" descr="Une image contenant texte, Police, Graphiqu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52357" name="Image 143552357" descr="Une image contenant texte, Police, Graphique, logo&#10;&#10;Description générée automatiquement"/>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518160" cy="632460"/>
                  </a:xfrm>
                  <a:prstGeom prst="rect">
                    <a:avLst/>
                  </a:prstGeom>
                </pic:spPr>
              </pic:pic>
            </a:graphicData>
          </a:graphic>
        </wp:inline>
      </w:drawing>
    </w:r>
    <w:r>
      <w:rPr>
        <w:noProof/>
        <w:lang w:eastAsia="fr-FR"/>
      </w:rPr>
      <w:pict w14:anchorId="588077A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4" o:spid="_x0000_s1033" type="#_x0000_t75" style="position:absolute;margin-left:0;margin-top:0;width:559.55pt;height:387.35pt;z-index:-251649024;mso-position-horizontal:center;mso-position-horizontal-relative:margin;mso-position-vertical:center;mso-position-vertical-relative:margin" o:allowincell="f">
          <v:imagedata r:id="rId2" o:title="filigramme sourire FIP"/>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421B0" w14:textId="77777777" w:rsidR="000C0DEF" w:rsidRDefault="00CB7D5D">
    <w:pPr>
      <w:pStyle w:val="En-tte"/>
    </w:pPr>
    <w:r>
      <w:rPr>
        <w:noProof/>
        <w:lang w:eastAsia="fr-FR"/>
      </w:rPr>
      <w:pict w14:anchorId="7387CC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2" o:spid="_x0000_s1031" type="#_x0000_t75" style="position:absolute;margin-left:0;margin-top:0;width:559.55pt;height:387.35pt;z-index:-251651072;mso-position-horizontal:center;mso-position-horizontal-relative:margin;mso-position-vertical:center;mso-position-vertical-relative:margin" o:allowincell="f">
          <v:imagedata r:id="rId1" o:title="filigramme sourire FIP"/>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016"/>
    <w:rsid w:val="000C0DEF"/>
    <w:rsid w:val="000E1DBA"/>
    <w:rsid w:val="000E631A"/>
    <w:rsid w:val="0012180A"/>
    <w:rsid w:val="0013368A"/>
    <w:rsid w:val="001B0DF8"/>
    <w:rsid w:val="001B42BB"/>
    <w:rsid w:val="00206348"/>
    <w:rsid w:val="002A04F6"/>
    <w:rsid w:val="002B7CB6"/>
    <w:rsid w:val="002D342B"/>
    <w:rsid w:val="002F17D1"/>
    <w:rsid w:val="00333853"/>
    <w:rsid w:val="00354F21"/>
    <w:rsid w:val="004A1CD1"/>
    <w:rsid w:val="00577747"/>
    <w:rsid w:val="00594BB7"/>
    <w:rsid w:val="005F3EA3"/>
    <w:rsid w:val="005F79C3"/>
    <w:rsid w:val="00702CC0"/>
    <w:rsid w:val="007566B1"/>
    <w:rsid w:val="007611C3"/>
    <w:rsid w:val="00767DBA"/>
    <w:rsid w:val="00843DD1"/>
    <w:rsid w:val="008B535C"/>
    <w:rsid w:val="008B7919"/>
    <w:rsid w:val="00901715"/>
    <w:rsid w:val="00930E35"/>
    <w:rsid w:val="00936270"/>
    <w:rsid w:val="00976CF0"/>
    <w:rsid w:val="00980424"/>
    <w:rsid w:val="00AE59BC"/>
    <w:rsid w:val="00BD6D3D"/>
    <w:rsid w:val="00BF1263"/>
    <w:rsid w:val="00BF7342"/>
    <w:rsid w:val="00C2622D"/>
    <w:rsid w:val="00CB7D5D"/>
    <w:rsid w:val="00D025D4"/>
    <w:rsid w:val="00DE7068"/>
    <w:rsid w:val="00DF6016"/>
    <w:rsid w:val="00E248D4"/>
    <w:rsid w:val="00E464D9"/>
    <w:rsid w:val="00FB67E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E51372"/>
  <w15:chartTrackingRefBased/>
  <w15:docId w15:val="{C442C7C8-C3A0-4C31-86B4-E28B37252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C0DE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3">
    <w:name w:val="heading 3"/>
    <w:basedOn w:val="Normal"/>
    <w:link w:val="Titre3Car"/>
    <w:uiPriority w:val="9"/>
    <w:unhideWhenUsed/>
    <w:qFormat/>
    <w:rsid w:val="000C0DEF"/>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C0DEF"/>
    <w:pPr>
      <w:tabs>
        <w:tab w:val="center" w:pos="4536"/>
        <w:tab w:val="right" w:pos="9072"/>
      </w:tabs>
      <w:spacing w:after="0" w:line="240" w:lineRule="auto"/>
    </w:pPr>
  </w:style>
  <w:style w:type="character" w:customStyle="1" w:styleId="En-tteCar">
    <w:name w:val="En-tête Car"/>
    <w:basedOn w:val="Policepardfaut"/>
    <w:link w:val="En-tte"/>
    <w:uiPriority w:val="99"/>
    <w:rsid w:val="000C0DEF"/>
  </w:style>
  <w:style w:type="paragraph" w:styleId="Pieddepage">
    <w:name w:val="footer"/>
    <w:basedOn w:val="Normal"/>
    <w:link w:val="PieddepageCar"/>
    <w:uiPriority w:val="99"/>
    <w:unhideWhenUsed/>
    <w:rsid w:val="000C0DE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C0DEF"/>
  </w:style>
  <w:style w:type="character" w:customStyle="1" w:styleId="Titre3Car">
    <w:name w:val="Titre 3 Car"/>
    <w:basedOn w:val="Policepardfaut"/>
    <w:link w:val="Titre3"/>
    <w:uiPriority w:val="9"/>
    <w:rsid w:val="000C0DEF"/>
    <w:rPr>
      <w:rFonts w:ascii="Times New Roman" w:eastAsia="Times New Roman" w:hAnsi="Times New Roman" w:cs="Times New Roman"/>
      <w:b/>
      <w:bCs/>
      <w:sz w:val="27"/>
      <w:szCs w:val="27"/>
      <w:lang w:eastAsia="fr-FR"/>
    </w:rPr>
  </w:style>
  <w:style w:type="character" w:customStyle="1" w:styleId="Titre1Car">
    <w:name w:val="Titre 1 Car"/>
    <w:basedOn w:val="Policepardfaut"/>
    <w:link w:val="Titre1"/>
    <w:uiPriority w:val="9"/>
    <w:rsid w:val="000C0DEF"/>
    <w:rPr>
      <w:rFonts w:asciiTheme="majorHAnsi" w:eastAsiaTheme="majorEastAsia" w:hAnsiTheme="majorHAnsi" w:cstheme="majorBidi"/>
      <w:color w:val="2E74B5" w:themeColor="accent1" w:themeShade="BF"/>
      <w:sz w:val="32"/>
      <w:szCs w:val="32"/>
    </w:rPr>
  </w:style>
  <w:style w:type="character" w:styleId="Lienhypertexte">
    <w:name w:val="Hyperlink"/>
    <w:unhideWhenUsed/>
    <w:rsid w:val="00DF6016"/>
    <w:rPr>
      <w:strike w:val="0"/>
      <w:dstrike w:val="0"/>
      <w:color w:val="0000FF"/>
      <w:u w:val="none"/>
      <w:effect w:val="none"/>
    </w:rPr>
  </w:style>
  <w:style w:type="paragraph" w:styleId="Textebrut">
    <w:name w:val="Plain Text"/>
    <w:basedOn w:val="Normal"/>
    <w:link w:val="TextebrutCar"/>
    <w:uiPriority w:val="99"/>
    <w:unhideWhenUsed/>
    <w:rsid w:val="00DF6016"/>
    <w:pPr>
      <w:spacing w:after="0" w:line="240" w:lineRule="auto"/>
    </w:pPr>
    <w:rPr>
      <w:rFonts w:ascii="Calibri" w:hAnsi="Calibri"/>
      <w:szCs w:val="21"/>
    </w:rPr>
  </w:style>
  <w:style w:type="character" w:customStyle="1" w:styleId="TextebrutCar">
    <w:name w:val="Texte brut Car"/>
    <w:basedOn w:val="Policepardfaut"/>
    <w:link w:val="Textebrut"/>
    <w:uiPriority w:val="99"/>
    <w:rsid w:val="00DF6016"/>
    <w:rPr>
      <w:rFonts w:ascii="Calibri" w:hAnsi="Calibri"/>
      <w:szCs w:val="21"/>
    </w:rPr>
  </w:style>
  <w:style w:type="character" w:styleId="Lienhypertextesuivivisit">
    <w:name w:val="FollowedHyperlink"/>
    <w:basedOn w:val="Policepardfaut"/>
    <w:uiPriority w:val="99"/>
    <w:semiHidden/>
    <w:unhideWhenUsed/>
    <w:rsid w:val="004A1CD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ur-lex.europa.eu/legal-content/FR/TXT/PDF/?uri=OJ:L_202501876" TargetMode="External"/><Relationship Id="rId21" Type="http://schemas.openxmlformats.org/officeDocument/2006/relationships/hyperlink" Target="https://eur-lex.europa.eu/legal-content/FR/TXT/PDF/?uri=OJ:L_202501811" TargetMode="External"/><Relationship Id="rId34" Type="http://schemas.openxmlformats.org/officeDocument/2006/relationships/hyperlink" Target="https://eur-lex.europa.eu/legal-content/FR/TXT/PDF/?uri=OJ:L_202590734" TargetMode="External"/><Relationship Id="rId42" Type="http://schemas.openxmlformats.org/officeDocument/2006/relationships/hyperlink" Target="https://eur-lex.europa.eu/legal-content/FR/TXT/PDF/?uri=OJ:L_202501772" TargetMode="External"/><Relationship Id="rId47" Type="http://schemas.openxmlformats.org/officeDocument/2006/relationships/hyperlink" Target="https://info.agriculture.gouv.fr/boagri/rectificatif-aaaa2add-7b1a-4fad-9b13-d86c324a66f9" TargetMode="External"/><Relationship Id="rId50" Type="http://schemas.openxmlformats.org/officeDocument/2006/relationships/hyperlink" Target="https://info.agriculture.gouv.fr/boagri/rectificatif-8119a6de-f38e-4d50-b206-fab28f8fac0f" TargetMode="External"/><Relationship Id="rId55" Type="http://schemas.openxmlformats.org/officeDocument/2006/relationships/hyperlink" Target="https://eur-lex.europa.eu/legal-content/FR/TXT/PDF/?uri=OJ:L_202501912" TargetMode="External"/><Relationship Id="rId63" Type="http://schemas.openxmlformats.org/officeDocument/2006/relationships/header" Target="header2.xml"/><Relationship Id="rId7" Type="http://schemas.openxmlformats.org/officeDocument/2006/relationships/hyperlink" Target="https://eur-lex.europa.eu/legal-content/FR/TXT/PDF/?uri=OJ:L_202501892" TargetMode="External"/><Relationship Id="rId2" Type="http://schemas.openxmlformats.org/officeDocument/2006/relationships/styles" Target="styles.xml"/><Relationship Id="rId16" Type="http://schemas.openxmlformats.org/officeDocument/2006/relationships/hyperlink" Target="https://eur-lex.europa.eu/legal-content/FR/TXT/PDF/?uri=OJ:L_202501778" TargetMode="External"/><Relationship Id="rId29" Type="http://schemas.openxmlformats.org/officeDocument/2006/relationships/hyperlink" Target="https://eur-lex.europa.eu/legal-content/FR/TXT/PDF/?uri=OJ:L_202501805" TargetMode="External"/><Relationship Id="rId11" Type="http://schemas.openxmlformats.org/officeDocument/2006/relationships/hyperlink" Target="https://www.legifrance.gouv.fr/jorf/id/JORFTEXT000052304473" TargetMode="External"/><Relationship Id="rId24" Type="http://schemas.openxmlformats.org/officeDocument/2006/relationships/hyperlink" Target="https://eur-lex.europa.eu/legal-content/FR/TXT/PDF/?uri=OJ:L_202501807" TargetMode="External"/><Relationship Id="rId32" Type="http://schemas.openxmlformats.org/officeDocument/2006/relationships/hyperlink" Target="https://eur-lex.europa.eu/legal-content/FR/TXT/PDF/?uri=OJ:L_202501885" TargetMode="External"/><Relationship Id="rId37" Type="http://schemas.openxmlformats.org/officeDocument/2006/relationships/hyperlink" Target="https://www.plateforme-sca.fr/ndeg139-5-septembre-2025" TargetMode="External"/><Relationship Id="rId40" Type="http://schemas.openxmlformats.org/officeDocument/2006/relationships/hyperlink" Target="https://eur-lex.europa.eu/legal-content/FR/TXT/PDF/?uri=OJ:L_202501900" TargetMode="External"/><Relationship Id="rId45" Type="http://schemas.openxmlformats.org/officeDocument/2006/relationships/hyperlink" Target="https://eur-lex.europa.eu/legal-content/FR/TXT/PDF/?uri=OJ:L_202501898" TargetMode="External"/><Relationship Id="rId53" Type="http://schemas.openxmlformats.org/officeDocument/2006/relationships/hyperlink" Target="https://eur-lex.europa.eu/legal-content/FR/TXT/PDF/?uri=OJ:L_202501882" TargetMode="External"/><Relationship Id="rId58" Type="http://schemas.openxmlformats.org/officeDocument/2006/relationships/hyperlink" Target="https://eur-lex.europa.eu/legal-content/FR/TXT/PDF/?uri=OJ:L_202501922" TargetMode="External"/><Relationship Id="rId66"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hyperlink" Target="https://eur-lex.europa.eu/legal-content/FR/TXT/PDF/?uri=OJ:L_202501938" TargetMode="External"/><Relationship Id="rId19" Type="http://schemas.openxmlformats.org/officeDocument/2006/relationships/hyperlink" Target="https://eur-lex.europa.eu/legal-content/FR/TXT/PDF/?uri=OJ:L_202501808" TargetMode="External"/><Relationship Id="rId14" Type="http://schemas.openxmlformats.org/officeDocument/2006/relationships/hyperlink" Target="https://eur-lex.europa.eu/legal-content/FR/TXT/PDF/?uri=OJ:L_202501803" TargetMode="External"/><Relationship Id="rId22" Type="http://schemas.openxmlformats.org/officeDocument/2006/relationships/hyperlink" Target="https://eur-lex.europa.eu/legal-content/FR/TXT/PDF/?uri=OJ:L_202501814" TargetMode="External"/><Relationship Id="rId27" Type="http://schemas.openxmlformats.org/officeDocument/2006/relationships/hyperlink" Target="https://eur-lex.europa.eu/legal-content/FR/TXT/PDF/?uri=OJ:L_202501878" TargetMode="External"/><Relationship Id="rId30" Type="http://schemas.openxmlformats.org/officeDocument/2006/relationships/hyperlink" Target="https://eur-lex.europa.eu/legal-content/FR/TXT/PDF/?uri=OJ:L_202501813" TargetMode="External"/><Relationship Id="rId35" Type="http://schemas.openxmlformats.org/officeDocument/2006/relationships/hyperlink" Target="https://eur-lex.europa.eu/legal-content/FR/TXT/PDF/?uri=OJ:L_202501908" TargetMode="External"/><Relationship Id="rId43" Type="http://schemas.openxmlformats.org/officeDocument/2006/relationships/hyperlink" Target="https://eur-lex.europa.eu/legal-content/FR/TXT/PDF/?uri=OJ:L_202501923" TargetMode="External"/><Relationship Id="rId48" Type="http://schemas.openxmlformats.org/officeDocument/2006/relationships/hyperlink" Target="https://www.legifrance.gouv.fr/jorf/id/JORFTEXT000052201476" TargetMode="External"/><Relationship Id="rId56" Type="http://schemas.openxmlformats.org/officeDocument/2006/relationships/hyperlink" Target="https://eur-lex.europa.eu/legal-content/FR/TXT/PDF/?uri=OJ:L_202501924" TargetMode="External"/><Relationship Id="rId64" Type="http://schemas.openxmlformats.org/officeDocument/2006/relationships/footer" Target="footer1.xml"/><Relationship Id="rId8" Type="http://schemas.openxmlformats.org/officeDocument/2006/relationships/hyperlink" Target="https://www.legifrance.gouv.fr/jorf/id/JORFTEXT000052213065" TargetMode="External"/><Relationship Id="rId51" Type="http://schemas.openxmlformats.org/officeDocument/2006/relationships/hyperlink" Target="https://info.agriculture.gouv.fr/boagri/instruction-2025-601" TargetMode="External"/><Relationship Id="rId3" Type="http://schemas.openxmlformats.org/officeDocument/2006/relationships/settings" Target="settings.xml"/><Relationship Id="rId12" Type="http://schemas.openxmlformats.org/officeDocument/2006/relationships/hyperlink" Target="https://eur-lex.europa.eu/legal-content/FR/TXT/PDF/?uri=OJ:L_202501791" TargetMode="External"/><Relationship Id="rId17" Type="http://schemas.openxmlformats.org/officeDocument/2006/relationships/hyperlink" Target="https://eur-lex.europa.eu/legal-content/FR/TXT/PDF/?uri=OJ:L_202501779" TargetMode="External"/><Relationship Id="rId25" Type="http://schemas.openxmlformats.org/officeDocument/2006/relationships/hyperlink" Target="https://eur-lex.europa.eu/legal-content/FR/TXT/PDF/?uri=OJ:L_202501812" TargetMode="External"/><Relationship Id="rId33" Type="http://schemas.openxmlformats.org/officeDocument/2006/relationships/hyperlink" Target="https://eur-lex.europa.eu/legal-content/FR/TXT/PDF/?uri=OJ:L_202501800*" TargetMode="External"/><Relationship Id="rId38" Type="http://schemas.openxmlformats.org/officeDocument/2006/relationships/hyperlink" Target="https://www.plateforme-sca.fr/ndeg140-18-septembre-2025" TargetMode="External"/><Relationship Id="rId46" Type="http://schemas.openxmlformats.org/officeDocument/2006/relationships/hyperlink" Target="https://info.agriculture.gouv.fr/boagri/instruction-2025-525" TargetMode="External"/><Relationship Id="rId59" Type="http://schemas.openxmlformats.org/officeDocument/2006/relationships/hyperlink" Target="https://eur-lex.europa.eu/legal-content/FR/TXT/PDF/?uri=OJ:L_202501931" TargetMode="External"/><Relationship Id="rId67" Type="http://schemas.openxmlformats.org/officeDocument/2006/relationships/theme" Target="theme/theme1.xml"/><Relationship Id="rId20" Type="http://schemas.openxmlformats.org/officeDocument/2006/relationships/hyperlink" Target="https://eur-lex.europa.eu/legal-content/FR/TXT/PDF/?uri=OJ:L_202501809" TargetMode="External"/><Relationship Id="rId41" Type="http://schemas.openxmlformats.org/officeDocument/2006/relationships/hyperlink" Target="https://knowledge4policy.ec.europa.eu/publication/food-fraud-summary-august-2025_en" TargetMode="External"/><Relationship Id="rId54" Type="http://schemas.openxmlformats.org/officeDocument/2006/relationships/hyperlink" Target="https://eur-lex.europa.eu/legal-content/FR/TXT/PDF/?uri=OJ:L_202501881" TargetMode="External"/><Relationship Id="rId62"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s://eur-lex.europa.eu/legal-content/FR/TXT/PDF/?uri=OJ:L_202501846" TargetMode="External"/><Relationship Id="rId23" Type="http://schemas.openxmlformats.org/officeDocument/2006/relationships/hyperlink" Target="https://eur-lex.europa.eu/legal-content/FR/TXT/PDF/?uri=OJ:L_202501867" TargetMode="External"/><Relationship Id="rId28" Type="http://schemas.openxmlformats.org/officeDocument/2006/relationships/hyperlink" Target="https://eur-lex.europa.eu/legal-content/FR/TXT/PDF/?uri=OJ:L_202501879" TargetMode="External"/><Relationship Id="rId36" Type="http://schemas.openxmlformats.org/officeDocument/2006/relationships/hyperlink" Target="https://eur-lex.europa.eu/legal-content/FR/TXT/PDF/?uri=OJ:L_202590735" TargetMode="External"/><Relationship Id="rId49" Type="http://schemas.openxmlformats.org/officeDocument/2006/relationships/hyperlink" Target="https://info.agriculture.gouv.fr/boagri/instruction-2025-583" TargetMode="External"/><Relationship Id="rId57" Type="http://schemas.openxmlformats.org/officeDocument/2006/relationships/hyperlink" Target="https://eur-lex.europa.eu/legal-content/FR/TXT/PDF/?uri=OJ:L_202501927" TargetMode="External"/><Relationship Id="rId10" Type="http://schemas.openxmlformats.org/officeDocument/2006/relationships/hyperlink" Target="https://www.legifrance.gouv.fr/jorf/id/JORFTEXT000052213013" TargetMode="External"/><Relationship Id="rId31" Type="http://schemas.openxmlformats.org/officeDocument/2006/relationships/hyperlink" Target="https://eur-lex.europa.eu/legal-content/FR/TXT/PDF/?uri=OJ:L_202501887" TargetMode="External"/><Relationship Id="rId44" Type="http://schemas.openxmlformats.org/officeDocument/2006/relationships/hyperlink" Target="https://eur-lex.europa.eu/legal-content/FR/TXT/PDF/?uri=OJ:L_202501934" TargetMode="External"/><Relationship Id="rId52" Type="http://schemas.openxmlformats.org/officeDocument/2006/relationships/hyperlink" Target="https://eur-lex.europa.eu/legal-content/FR/TXT/PDF/?uri=OJ:L_202501777" TargetMode="External"/><Relationship Id="rId60" Type="http://schemas.openxmlformats.org/officeDocument/2006/relationships/hyperlink" Target="https://eur-lex.europa.eu/legal-content/FR/TXT/PDF/?uri=OJ:L_202501954" TargetMode="External"/><Relationship Id="rId65"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yperlink" Target="https://www.legifrance.gouv.fr/jorf/id/JORFTEXT000052213074" TargetMode="External"/><Relationship Id="rId13" Type="http://schemas.openxmlformats.org/officeDocument/2006/relationships/hyperlink" Target="https://eur-lex.europa.eu/legal-content/FR/TXT/PDF/?uri=OJ:L_202501792" TargetMode="External"/><Relationship Id="rId18" Type="http://schemas.openxmlformats.org/officeDocument/2006/relationships/hyperlink" Target="https://eur-lex.europa.eu/legal-content/FR/TXT/PDF/?uri=OJ:L_202501806" TargetMode="External"/><Relationship Id="rId39" Type="http://schemas.openxmlformats.org/officeDocument/2006/relationships/hyperlink" Target="https://www.plateforme-sca.fr/ndeg141-02-octobre-202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evesque\OneDrive%20-%20Critt%20Agroalimentaire%20PACA\Documents\Mod&#232;les%20Office%20personnalis&#233;s\Mod&#232;le%20bulletin%20veille%20perso%20202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2F9048-52DE-4C9E-ACCF-03401F2D77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Modèle bulletin veille perso 2025</Template>
  <TotalTime>0</TotalTime>
  <Pages>6</Pages>
  <Words>3303</Words>
  <Characters>18169</Characters>
  <Application>Microsoft Office Word</Application>
  <DocSecurity>0</DocSecurity>
  <Lines>151</Lines>
  <Paragraphs>42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21430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Levesque</dc:creator>
  <cp:keywords/>
  <dc:description/>
  <cp:lastModifiedBy>Denis GRIVET</cp:lastModifiedBy>
  <cp:revision>3</cp:revision>
  <dcterms:created xsi:type="dcterms:W3CDTF">2025-10-14T13:17:00Z</dcterms:created>
  <dcterms:modified xsi:type="dcterms:W3CDTF">2025-10-14T13:24:00Z</dcterms:modified>
</cp:coreProperties>
</file>