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B5987" w14:textId="16C7D1F3" w:rsidR="005F3EA3" w:rsidRDefault="005F3EA3" w:rsidP="005F3EA3">
      <w:pPr>
        <w:spacing w:after="0" w:line="240" w:lineRule="auto"/>
        <w:jc w:val="center"/>
        <w:rPr>
          <w:rFonts w:ascii="Trebuchet MS" w:hAnsi="Trebuchet MS" w:cs="Tahoma"/>
          <w:b/>
          <w:color w:val="EF671A"/>
          <w:sz w:val="28"/>
          <w:szCs w:val="28"/>
        </w:rPr>
      </w:pPr>
    </w:p>
    <w:p w14:paraId="6E6C5449" w14:textId="29865298" w:rsidR="002B7CB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6529CFE7" w14:textId="77777777" w:rsidR="00C04182" w:rsidRDefault="00C04182" w:rsidP="00C04182">
      <w:pPr>
        <w:pStyle w:val="Textebrut"/>
        <w:ind w:left="142"/>
        <w:jc w:val="both"/>
        <w:rPr>
          <w:rFonts w:ascii="Tenorite" w:hAnsi="Tenorite"/>
          <w:sz w:val="20"/>
          <w:szCs w:val="20"/>
        </w:rPr>
      </w:pPr>
      <w:hyperlink r:id="rId7" w:history="1">
        <w:r w:rsidRPr="003C17FD">
          <w:rPr>
            <w:rStyle w:val="Lienhypertexte"/>
            <w:rFonts w:ascii="Tenorite" w:hAnsi="Tenorite"/>
            <w:sz w:val="20"/>
            <w:szCs w:val="20"/>
          </w:rPr>
          <w:t>Amendements</w:t>
        </w:r>
      </w:hyperlink>
      <w:r w:rsidRPr="003C17FD">
        <w:rPr>
          <w:rFonts w:ascii="Tenorite" w:hAnsi="Tenorite"/>
          <w:sz w:val="20"/>
          <w:szCs w:val="20"/>
        </w:rPr>
        <w:t xml:space="preserve"> du Parlement européen, adoptés le 8 octobre 2025, à la proposition de règlement du Parlement européen et du Conseil modifiant les règlements (UE) no 1308/2013, (UE) 2021/2115 et (UE) 2021/2116 en ce qui concerne le renforcement de la position des agriculteurs dans la chaîne d’approvisionnement alimentaire (JOUE 15/04/2026)</w:t>
      </w:r>
    </w:p>
    <w:p w14:paraId="2BDD46D6" w14:textId="77777777" w:rsidR="002B2AC7" w:rsidRPr="003C17FD" w:rsidRDefault="002B2AC7" w:rsidP="00C04182">
      <w:pPr>
        <w:pStyle w:val="Textebrut"/>
        <w:ind w:left="142"/>
        <w:jc w:val="both"/>
        <w:rPr>
          <w:rFonts w:ascii="Tenorite" w:hAnsi="Tenorite"/>
          <w:sz w:val="20"/>
          <w:szCs w:val="20"/>
        </w:rPr>
      </w:pPr>
    </w:p>
    <w:p w14:paraId="252B4CC6" w14:textId="77777777" w:rsidR="002B2AC7" w:rsidRPr="003C17FD" w:rsidRDefault="002B2AC7" w:rsidP="002B2AC7">
      <w:pPr>
        <w:shd w:val="clear" w:color="auto" w:fill="FFFFFF"/>
        <w:spacing w:after="0" w:line="240" w:lineRule="auto"/>
        <w:ind w:left="142"/>
        <w:jc w:val="both"/>
        <w:rPr>
          <w:rFonts w:ascii="Tenorite" w:hAnsi="Tenorite"/>
          <w:sz w:val="20"/>
          <w:szCs w:val="20"/>
        </w:rPr>
      </w:pPr>
      <w:hyperlink r:id="rId8" w:history="1">
        <w:r w:rsidRPr="003C17FD">
          <w:rPr>
            <w:rStyle w:val="Lienhypertexte"/>
            <w:rFonts w:ascii="Tenorite" w:hAnsi="Tenorite"/>
            <w:sz w:val="20"/>
            <w:szCs w:val="20"/>
          </w:rPr>
          <w:t>Avis</w:t>
        </w:r>
      </w:hyperlink>
      <w:r w:rsidRPr="003C17FD">
        <w:rPr>
          <w:rStyle w:val="Lienhypertexte"/>
          <w:rFonts w:ascii="Tenorite" w:hAnsi="Tenorite"/>
          <w:color w:val="auto"/>
          <w:sz w:val="20"/>
          <w:szCs w:val="20"/>
        </w:rPr>
        <w:t xml:space="preserve"> du Comité économique et social européen — Proposition de règlement du Parlement européen et du Conseil établissant les conditions relatives à la mise en œuvre du soutien de l’Union en faveur de la politique agricole commune pour la période allant de 2028 à 2034 </w:t>
      </w:r>
      <w:r w:rsidRPr="003C17FD">
        <w:rPr>
          <w:rFonts w:ascii="Tenorite" w:hAnsi="Tenorite"/>
          <w:sz w:val="20"/>
          <w:szCs w:val="20"/>
        </w:rPr>
        <w:t>(JOUE 28/04/2026)</w:t>
      </w:r>
    </w:p>
    <w:p w14:paraId="290C2998" w14:textId="77777777" w:rsidR="00454D3B" w:rsidRPr="005F3EA3" w:rsidRDefault="00454D3B" w:rsidP="005F3EA3">
      <w:pPr>
        <w:spacing w:after="0" w:line="240" w:lineRule="auto"/>
        <w:jc w:val="center"/>
        <w:rPr>
          <w:rFonts w:ascii="Tenorite" w:hAnsi="Tenorite" w:cs="Tahoma"/>
          <w:b/>
          <w:color w:val="EF671A"/>
          <w:sz w:val="32"/>
          <w:szCs w:val="32"/>
          <w:u w:val="single"/>
        </w:rPr>
      </w:pPr>
    </w:p>
    <w:p w14:paraId="4CEA5421" w14:textId="7C64E32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ADDITIFS, </w:t>
      </w:r>
      <w:r w:rsidR="00767DBA">
        <w:rPr>
          <w:rFonts w:ascii="Tenorite" w:hAnsi="Tenorite"/>
          <w:b/>
          <w:color w:val="833C0B" w:themeColor="accent2" w:themeShade="80"/>
          <w:sz w:val="24"/>
        </w:rPr>
        <w:t>ET INGREDIENTS</w:t>
      </w:r>
    </w:p>
    <w:p w14:paraId="49061338" w14:textId="26CB1CD9" w:rsidR="002B7CB6" w:rsidRDefault="00FD7719"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7052FBDA" w14:textId="77777777" w:rsidR="00FD7719" w:rsidRPr="005F3EA3" w:rsidRDefault="00FD7719" w:rsidP="002B7CB6">
      <w:pPr>
        <w:spacing w:after="0" w:line="240" w:lineRule="auto"/>
        <w:ind w:left="284" w:hanging="142"/>
        <w:rPr>
          <w:rFonts w:ascii="Tenorite" w:hAnsi="Tenorite"/>
          <w:color w:val="C45911" w:themeColor="accent2" w:themeShade="BF"/>
          <w:sz w:val="20"/>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06E4FFE" w14:textId="01ACB1D4" w:rsidR="00767DBA" w:rsidRDefault="00FD7719"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109B7013" w14:textId="77777777" w:rsidR="00802621" w:rsidRPr="005F3EA3" w:rsidRDefault="00802621" w:rsidP="00767DBA">
      <w:pPr>
        <w:spacing w:after="0" w:line="240" w:lineRule="auto"/>
        <w:ind w:left="284" w:hanging="142"/>
        <w:rPr>
          <w:rFonts w:ascii="Tenorite" w:hAnsi="Tenorite"/>
          <w:color w:val="C45911" w:themeColor="accent2" w:themeShade="BF"/>
          <w:sz w:val="20"/>
        </w:rPr>
      </w:pP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67AADF7E" w14:textId="77777777" w:rsidR="007C3E1C" w:rsidRDefault="007C3E1C"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9" w:history="1">
        <w:r w:rsidRPr="003C17FD">
          <w:rPr>
            <w:rFonts w:ascii="Tenorite" w:eastAsia="Times New Roman" w:hAnsi="Tenorite" w:cs="Times New Roman"/>
            <w:b/>
            <w:bCs/>
            <w:color w:val="000091"/>
            <w:sz w:val="20"/>
            <w:szCs w:val="20"/>
            <w:u w:val="single"/>
            <w:lang w:eastAsia="fr-FR"/>
          </w:rPr>
          <w:t>Avis</w:t>
        </w:r>
      </w:hyperlink>
      <w:r w:rsidRPr="003C17FD">
        <w:rPr>
          <w:rFonts w:ascii="Tenorite" w:eastAsia="Times New Roman" w:hAnsi="Tenorite" w:cs="Times New Roman"/>
          <w:color w:val="636363"/>
          <w:sz w:val="20"/>
          <w:szCs w:val="20"/>
          <w:lang w:eastAsia="fr-FR"/>
        </w:rPr>
        <w:t> du 02-04-2026 - Bilan d'étape sur la mise en œuvre du dispositif de certificats d'économie de produits phytopharmaceutiques (DGAL)</w:t>
      </w:r>
    </w:p>
    <w:p w14:paraId="18C8B7FC" w14:textId="77777777" w:rsidR="00802621" w:rsidRPr="003C17FD" w:rsidRDefault="00802621" w:rsidP="007C3E1C">
      <w:pPr>
        <w:shd w:val="clear" w:color="auto" w:fill="FFFFFF"/>
        <w:spacing w:after="0" w:line="240" w:lineRule="auto"/>
        <w:ind w:left="142"/>
        <w:jc w:val="both"/>
        <w:rPr>
          <w:rFonts w:ascii="Tenorite" w:hAnsi="Tenorite"/>
          <w:sz w:val="20"/>
          <w:szCs w:val="20"/>
        </w:rPr>
      </w:pPr>
    </w:p>
    <w:p w14:paraId="214CDA44" w14:textId="28B6D6BB" w:rsidR="007C3E1C" w:rsidRPr="003C17FD" w:rsidRDefault="007C3E1C" w:rsidP="007C3E1C">
      <w:pPr>
        <w:shd w:val="clear" w:color="auto" w:fill="FFFFFF"/>
        <w:spacing w:after="0" w:line="240" w:lineRule="auto"/>
        <w:ind w:left="142"/>
        <w:jc w:val="both"/>
        <w:outlineLvl w:val="2"/>
        <w:rPr>
          <w:rFonts w:ascii="Tenorite" w:hAnsi="Tenorite" w:cs="Arial"/>
          <w:color w:val="3C3C3C"/>
          <w:sz w:val="20"/>
          <w:szCs w:val="20"/>
        </w:rPr>
      </w:pPr>
      <w:hyperlink r:id="rId10" w:tgtFrame="_blank" w:history="1">
        <w:r w:rsidRPr="003C17FD">
          <w:rPr>
            <w:rStyle w:val="Lienhypertexte"/>
            <w:rFonts w:ascii="Tenorite" w:hAnsi="Tenorite" w:cs="Arial"/>
            <w:sz w:val="20"/>
            <w:szCs w:val="20"/>
          </w:rPr>
          <w:t xml:space="preserve">Avis relatif à la réglementation de mise en </w:t>
        </w:r>
        <w:r w:rsidR="00802621" w:rsidRPr="003C17FD">
          <w:rPr>
            <w:rStyle w:val="Lienhypertexte"/>
            <w:rFonts w:ascii="Tenorite" w:hAnsi="Tenorite" w:cs="Arial"/>
            <w:sz w:val="20"/>
            <w:szCs w:val="20"/>
          </w:rPr>
          <w:t>œuvre</w:t>
        </w:r>
        <w:r w:rsidRPr="003C17FD">
          <w:rPr>
            <w:rStyle w:val="Lienhypertexte"/>
            <w:rFonts w:ascii="Tenorite" w:hAnsi="Tenorite" w:cs="Arial"/>
            <w:sz w:val="20"/>
            <w:szCs w:val="20"/>
          </w:rPr>
          <w:t xml:space="preserve"> de la loi du 23 avril 2025 sur les applications de produits phytopharmaceutiques par aéronef circulant sans personne à bord</w:t>
        </w:r>
      </w:hyperlink>
      <w:r w:rsidRPr="003C17FD">
        <w:rPr>
          <w:rFonts w:ascii="Tenorite" w:hAnsi="Tenorite" w:cs="Arial"/>
          <w:color w:val="3C3C3C"/>
          <w:sz w:val="20"/>
          <w:szCs w:val="20"/>
        </w:rPr>
        <w:t xml:space="preserve"> – avis signé le 09/12/2025</w:t>
      </w:r>
    </w:p>
    <w:p w14:paraId="1C5E25FE" w14:textId="77777777" w:rsidR="007C3E1C" w:rsidRPr="003C17FD" w:rsidRDefault="007C3E1C" w:rsidP="007C3E1C">
      <w:pPr>
        <w:pStyle w:val="Textebrut"/>
        <w:ind w:left="142"/>
        <w:jc w:val="both"/>
        <w:rPr>
          <w:rFonts w:ascii="Tenorite" w:hAnsi="Tenorite"/>
          <w:sz w:val="20"/>
          <w:szCs w:val="20"/>
        </w:rPr>
      </w:pPr>
    </w:p>
    <w:p w14:paraId="62E43918" w14:textId="77777777" w:rsidR="007C3E1C" w:rsidRPr="003C17FD" w:rsidRDefault="007C3E1C" w:rsidP="007C3E1C">
      <w:pPr>
        <w:pStyle w:val="Textebrut"/>
        <w:ind w:left="142"/>
        <w:jc w:val="both"/>
        <w:rPr>
          <w:rFonts w:ascii="Tenorite" w:hAnsi="Tenorite"/>
          <w:sz w:val="20"/>
          <w:szCs w:val="20"/>
        </w:rPr>
      </w:pPr>
      <w:hyperlink r:id="rId11" w:history="1">
        <w:r w:rsidRPr="003C17FD">
          <w:rPr>
            <w:rStyle w:val="Lienhypertexte"/>
            <w:rFonts w:ascii="Tenorite" w:hAnsi="Tenorite"/>
            <w:sz w:val="20"/>
            <w:szCs w:val="20"/>
          </w:rPr>
          <w:t>Arrêté</w:t>
        </w:r>
      </w:hyperlink>
      <w:r w:rsidRPr="003C17FD">
        <w:rPr>
          <w:rFonts w:ascii="Tenorite" w:hAnsi="Tenorite"/>
          <w:sz w:val="20"/>
          <w:szCs w:val="20"/>
        </w:rPr>
        <w:t xml:space="preserve"> du 3 avril 2026 autorisant par dérogation la mise à disposition sur le marché et l'utilisation des produits « TERMIGARD », « TERMIGARD + », « LABYRINTH » et « LABYRINTH + » en France, pour une période de 180 jours (JORF 11/04/2026)</w:t>
      </w:r>
      <w:r w:rsidRPr="003C17FD">
        <w:rPr>
          <w:rFonts w:ascii="Tenorite" w:hAnsi="Tenorite"/>
          <w:sz w:val="20"/>
          <w:szCs w:val="20"/>
        </w:rPr>
        <w:br/>
      </w:r>
    </w:p>
    <w:p w14:paraId="686F33EB" w14:textId="77777777" w:rsidR="007C3E1C" w:rsidRPr="003C17FD" w:rsidRDefault="007C3E1C" w:rsidP="007C3E1C">
      <w:pPr>
        <w:pStyle w:val="Textebrut"/>
        <w:ind w:left="142"/>
        <w:jc w:val="both"/>
        <w:rPr>
          <w:rFonts w:ascii="Tenorite" w:hAnsi="Tenorite"/>
          <w:sz w:val="20"/>
          <w:szCs w:val="20"/>
        </w:rPr>
      </w:pPr>
      <w:hyperlink r:id="rId12" w:history="1">
        <w:r w:rsidRPr="003C17FD">
          <w:rPr>
            <w:rStyle w:val="Lienhypertexte"/>
            <w:rFonts w:ascii="Tenorite" w:hAnsi="Tenorite"/>
            <w:sz w:val="20"/>
            <w:szCs w:val="20"/>
          </w:rPr>
          <w:t>Décret</w:t>
        </w:r>
      </w:hyperlink>
      <w:r w:rsidRPr="003C17FD">
        <w:rPr>
          <w:rFonts w:ascii="Tenorite" w:hAnsi="Tenorite"/>
          <w:sz w:val="20"/>
          <w:szCs w:val="20"/>
        </w:rPr>
        <w:t xml:space="preserve"> no 2026-270 du 14 avril 2026 relatif aux conditions d’application de produits phytopharmaceutiques par aéronef circulant sans personne à bord (JORF 15/04/2026)</w:t>
      </w:r>
    </w:p>
    <w:p w14:paraId="0D27B549" w14:textId="77777777" w:rsidR="007C3E1C" w:rsidRPr="003C17FD" w:rsidRDefault="007C3E1C" w:rsidP="007C3E1C">
      <w:pPr>
        <w:pStyle w:val="Textebrut"/>
        <w:ind w:left="142"/>
        <w:jc w:val="both"/>
        <w:rPr>
          <w:rFonts w:ascii="Tenorite" w:hAnsi="Tenorite"/>
          <w:sz w:val="20"/>
          <w:szCs w:val="20"/>
        </w:rPr>
      </w:pPr>
    </w:p>
    <w:p w14:paraId="47626F1C" w14:textId="77777777" w:rsidR="007C3E1C" w:rsidRPr="003C17FD" w:rsidRDefault="007C3E1C" w:rsidP="007C3E1C">
      <w:pPr>
        <w:pStyle w:val="Textebrut"/>
        <w:ind w:left="142"/>
        <w:jc w:val="both"/>
        <w:rPr>
          <w:rFonts w:ascii="Tenorite" w:hAnsi="Tenorite"/>
          <w:sz w:val="20"/>
          <w:szCs w:val="20"/>
        </w:rPr>
      </w:pPr>
      <w:hyperlink r:id="rId13" w:history="1">
        <w:r w:rsidRPr="003C17FD">
          <w:rPr>
            <w:rStyle w:val="Lienhypertexte"/>
            <w:rFonts w:ascii="Tenorite" w:hAnsi="Tenorite"/>
            <w:sz w:val="20"/>
            <w:szCs w:val="20"/>
          </w:rPr>
          <w:t>Arrêté</w:t>
        </w:r>
      </w:hyperlink>
      <w:r w:rsidRPr="003C17FD">
        <w:rPr>
          <w:rFonts w:ascii="Tenorite" w:hAnsi="Tenorite"/>
          <w:sz w:val="20"/>
          <w:szCs w:val="20"/>
        </w:rPr>
        <w:t xml:space="preserve"> du 3 avril 2026 relatif aux modalités et au contenu du contrôle des pulvérisateurs pris en application du 1° de l'article D. 256-14 du code rural et de la pêche maritime (JORF 16/04/2026)</w:t>
      </w:r>
    </w:p>
    <w:p w14:paraId="264D6ADA" w14:textId="77777777" w:rsidR="007C3E1C" w:rsidRPr="003C17FD" w:rsidRDefault="007C3E1C" w:rsidP="007C3E1C">
      <w:pPr>
        <w:pStyle w:val="Textebrut"/>
        <w:ind w:left="142"/>
        <w:jc w:val="both"/>
        <w:rPr>
          <w:rFonts w:ascii="Tenorite" w:hAnsi="Tenorite"/>
          <w:sz w:val="20"/>
          <w:szCs w:val="20"/>
        </w:rPr>
      </w:pPr>
    </w:p>
    <w:p w14:paraId="0308F355" w14:textId="77777777" w:rsidR="007C3E1C" w:rsidRPr="003C17FD" w:rsidRDefault="007C3E1C" w:rsidP="007C3E1C">
      <w:pPr>
        <w:pStyle w:val="Textebrut"/>
        <w:ind w:left="142"/>
        <w:jc w:val="both"/>
        <w:rPr>
          <w:rFonts w:ascii="Tenorite" w:hAnsi="Tenorite"/>
          <w:sz w:val="20"/>
          <w:szCs w:val="20"/>
        </w:rPr>
      </w:pPr>
      <w:hyperlink r:id="rId14" w:history="1">
        <w:r w:rsidRPr="003C17FD">
          <w:rPr>
            <w:rStyle w:val="Lienhypertexte"/>
            <w:rFonts w:ascii="Tenorite" w:hAnsi="Tenorite"/>
            <w:sz w:val="20"/>
            <w:szCs w:val="20"/>
          </w:rPr>
          <w:t>Arrêté</w:t>
        </w:r>
      </w:hyperlink>
      <w:r w:rsidRPr="003C17FD">
        <w:rPr>
          <w:rFonts w:ascii="Tenorite" w:hAnsi="Tenorite"/>
          <w:sz w:val="20"/>
          <w:szCs w:val="20"/>
        </w:rPr>
        <w:t xml:space="preserve"> du 8 avril 2026 prorogeant la dérogation du 26 mars 2025 permettant la mise à disposition sur le marché et l'utilisation du produit biocide « BIOBOR JF » jusqu'au 30 avril 2027 (JORF 18/04/2026)</w:t>
      </w:r>
    </w:p>
    <w:p w14:paraId="096BB7F5" w14:textId="77777777" w:rsidR="007C3E1C" w:rsidRPr="003C17FD" w:rsidRDefault="007C3E1C" w:rsidP="007C3E1C">
      <w:pPr>
        <w:pStyle w:val="Textebrut"/>
        <w:ind w:left="142"/>
        <w:jc w:val="both"/>
        <w:rPr>
          <w:rFonts w:ascii="Tenorite" w:hAnsi="Tenorite"/>
          <w:sz w:val="20"/>
          <w:szCs w:val="20"/>
        </w:rPr>
      </w:pPr>
    </w:p>
    <w:p w14:paraId="047CEEB4" w14:textId="77777777" w:rsidR="007C3E1C" w:rsidRPr="003C17FD" w:rsidRDefault="007C3E1C" w:rsidP="007C3E1C">
      <w:pPr>
        <w:pStyle w:val="Textebrut"/>
        <w:ind w:left="142"/>
        <w:jc w:val="both"/>
        <w:rPr>
          <w:rFonts w:ascii="Tenorite" w:hAnsi="Tenorite"/>
          <w:sz w:val="20"/>
          <w:szCs w:val="20"/>
        </w:rPr>
      </w:pPr>
      <w:hyperlink r:id="rId15" w:history="1">
        <w:r w:rsidRPr="003C17FD">
          <w:rPr>
            <w:rStyle w:val="Lienhypertexte"/>
            <w:rFonts w:ascii="Tenorite" w:hAnsi="Tenorite"/>
            <w:sz w:val="20"/>
            <w:szCs w:val="20"/>
          </w:rPr>
          <w:t>Règlement</w:t>
        </w:r>
      </w:hyperlink>
      <w:r w:rsidRPr="003C17FD">
        <w:rPr>
          <w:rFonts w:ascii="Tenorite" w:hAnsi="Tenorite"/>
          <w:sz w:val="20"/>
          <w:szCs w:val="20"/>
        </w:rPr>
        <w:t xml:space="preserve"> d’exécution (UE) 2026/747 de la Commission du 31 mars 2026 approuvant la substance active </w:t>
      </w:r>
      <w:proofErr w:type="spellStart"/>
      <w:r w:rsidRPr="003C17FD">
        <w:rPr>
          <w:rFonts w:ascii="Tenorite" w:hAnsi="Tenorite"/>
          <w:sz w:val="20"/>
          <w:szCs w:val="20"/>
        </w:rPr>
        <w:t>bixlozone</w:t>
      </w:r>
      <w:proofErr w:type="spellEnd"/>
      <w:r w:rsidRPr="003C17FD">
        <w:rPr>
          <w:rFonts w:ascii="Tenorite" w:hAnsi="Tenorite"/>
          <w:sz w:val="20"/>
          <w:szCs w:val="20"/>
        </w:rPr>
        <w:t xml:space="preserve"> conformément au règlement (CE) no 1107/2009 du Parlement européen et du Conseil, et modifiant le règlement d’exécution (UE) no 540/2011 de la Commission (JOUE 01/04/2026)</w:t>
      </w:r>
    </w:p>
    <w:p w14:paraId="47DE1871" w14:textId="77777777" w:rsidR="007C3E1C" w:rsidRPr="003C17FD" w:rsidRDefault="007C3E1C" w:rsidP="007C3E1C">
      <w:pPr>
        <w:pStyle w:val="Textebrut"/>
        <w:ind w:left="142"/>
        <w:jc w:val="both"/>
        <w:rPr>
          <w:rFonts w:ascii="Tenorite" w:hAnsi="Tenorite"/>
          <w:sz w:val="20"/>
          <w:szCs w:val="20"/>
        </w:rPr>
      </w:pPr>
    </w:p>
    <w:p w14:paraId="2E5C8650" w14:textId="77777777" w:rsidR="007C3E1C" w:rsidRPr="003C17FD" w:rsidRDefault="007C3E1C" w:rsidP="007C3E1C">
      <w:pPr>
        <w:pStyle w:val="Textebrut"/>
        <w:ind w:left="142"/>
        <w:jc w:val="both"/>
        <w:rPr>
          <w:rFonts w:ascii="Tenorite" w:hAnsi="Tenorite"/>
          <w:sz w:val="20"/>
          <w:szCs w:val="20"/>
        </w:rPr>
      </w:pPr>
      <w:hyperlink r:id="rId16" w:history="1">
        <w:r w:rsidRPr="003C17FD">
          <w:rPr>
            <w:rStyle w:val="Lienhypertexte"/>
            <w:rFonts w:ascii="Tenorite" w:hAnsi="Tenorite"/>
            <w:sz w:val="20"/>
            <w:szCs w:val="20"/>
          </w:rPr>
          <w:t>Règlement</w:t>
        </w:r>
      </w:hyperlink>
      <w:r w:rsidRPr="003C17FD">
        <w:rPr>
          <w:rFonts w:ascii="Tenorite" w:hAnsi="Tenorite"/>
          <w:sz w:val="20"/>
          <w:szCs w:val="20"/>
        </w:rPr>
        <w:t xml:space="preserve"> d’exécution (UE) 2026/749 de la Commission du 31 mars 2026 modifiant le règlement d’exécution (UE) 2023/2183 en ce qui concerne des modifications administratives de l’autorisation de l’Union pour la famille de produits biocides dénommée </w:t>
      </w:r>
      <w:proofErr w:type="spellStart"/>
      <w:r w:rsidRPr="003C17FD">
        <w:rPr>
          <w:rFonts w:ascii="Tenorite" w:hAnsi="Tenorite"/>
          <w:sz w:val="20"/>
          <w:szCs w:val="20"/>
        </w:rPr>
        <w:t>Evonik’s</w:t>
      </w:r>
      <w:proofErr w:type="spellEnd"/>
      <w:r w:rsidRPr="003C17FD">
        <w:rPr>
          <w:rFonts w:ascii="Tenorite" w:hAnsi="Tenorite"/>
          <w:sz w:val="20"/>
          <w:szCs w:val="20"/>
        </w:rPr>
        <w:t xml:space="preserve"> </w:t>
      </w:r>
      <w:proofErr w:type="spellStart"/>
      <w:r w:rsidRPr="003C17FD">
        <w:rPr>
          <w:rFonts w:ascii="Tenorite" w:hAnsi="Tenorite"/>
          <w:sz w:val="20"/>
          <w:szCs w:val="20"/>
        </w:rPr>
        <w:t>Hydrogen</w:t>
      </w:r>
      <w:proofErr w:type="spellEnd"/>
      <w:r w:rsidRPr="003C17FD">
        <w:rPr>
          <w:rFonts w:ascii="Tenorite" w:hAnsi="Tenorite"/>
          <w:sz w:val="20"/>
          <w:szCs w:val="20"/>
        </w:rPr>
        <w:t xml:space="preserve"> </w:t>
      </w:r>
      <w:proofErr w:type="spellStart"/>
      <w:r w:rsidRPr="003C17FD">
        <w:rPr>
          <w:rFonts w:ascii="Tenorite" w:hAnsi="Tenorite"/>
          <w:sz w:val="20"/>
          <w:szCs w:val="20"/>
        </w:rPr>
        <w:t>Peroxide</w:t>
      </w:r>
      <w:proofErr w:type="spellEnd"/>
      <w:r w:rsidRPr="003C17FD">
        <w:rPr>
          <w:rFonts w:ascii="Tenorite" w:hAnsi="Tenorite"/>
          <w:sz w:val="20"/>
          <w:szCs w:val="20"/>
        </w:rPr>
        <w:t xml:space="preserve"> Product Family (JOUE 01/04/2026)</w:t>
      </w:r>
    </w:p>
    <w:p w14:paraId="2E998727" w14:textId="77777777" w:rsidR="007C3E1C" w:rsidRPr="003C17FD" w:rsidRDefault="007C3E1C" w:rsidP="007C3E1C">
      <w:pPr>
        <w:pStyle w:val="Textebrut"/>
        <w:ind w:left="142"/>
        <w:jc w:val="both"/>
        <w:rPr>
          <w:rFonts w:ascii="Tenorite" w:hAnsi="Tenorite"/>
          <w:sz w:val="20"/>
          <w:szCs w:val="20"/>
        </w:rPr>
      </w:pPr>
    </w:p>
    <w:p w14:paraId="52E29FB6" w14:textId="77777777" w:rsidR="007C3E1C" w:rsidRPr="003C17FD" w:rsidRDefault="007C3E1C" w:rsidP="007C3E1C">
      <w:pPr>
        <w:pStyle w:val="Textebrut"/>
        <w:ind w:left="142"/>
        <w:jc w:val="both"/>
        <w:rPr>
          <w:rFonts w:ascii="Tenorite" w:hAnsi="Tenorite"/>
          <w:sz w:val="20"/>
          <w:szCs w:val="20"/>
        </w:rPr>
      </w:pPr>
      <w:hyperlink r:id="rId17" w:history="1">
        <w:r w:rsidRPr="003C17FD">
          <w:rPr>
            <w:rStyle w:val="Lienhypertexte"/>
            <w:rFonts w:ascii="Tenorite" w:hAnsi="Tenorite"/>
            <w:sz w:val="20"/>
            <w:szCs w:val="20"/>
          </w:rPr>
          <w:t>Règlement</w:t>
        </w:r>
      </w:hyperlink>
      <w:r w:rsidRPr="003C17FD">
        <w:rPr>
          <w:rFonts w:ascii="Tenorite" w:hAnsi="Tenorite"/>
          <w:sz w:val="20"/>
          <w:szCs w:val="20"/>
        </w:rPr>
        <w:t xml:space="preserve"> d’exécution (UE) 2026/750 de la Commission du 31 mars 2026 octroyant une autorisation de l’Union pour la famille de produits biocides dénommée ECA </w:t>
      </w:r>
      <w:proofErr w:type="spellStart"/>
      <w:r w:rsidRPr="003C17FD">
        <w:rPr>
          <w:rFonts w:ascii="Tenorite" w:hAnsi="Tenorite"/>
          <w:sz w:val="20"/>
          <w:szCs w:val="20"/>
        </w:rPr>
        <w:t>Disinfect</w:t>
      </w:r>
      <w:proofErr w:type="spellEnd"/>
      <w:r w:rsidRPr="003C17FD">
        <w:rPr>
          <w:rFonts w:ascii="Tenorite" w:hAnsi="Tenorite"/>
          <w:sz w:val="20"/>
          <w:szCs w:val="20"/>
        </w:rPr>
        <w:t xml:space="preserve"> skin Product </w:t>
      </w:r>
      <w:proofErr w:type="spellStart"/>
      <w:r w:rsidRPr="003C17FD">
        <w:rPr>
          <w:rFonts w:ascii="Tenorite" w:hAnsi="Tenorite"/>
          <w:sz w:val="20"/>
          <w:szCs w:val="20"/>
        </w:rPr>
        <w:t>family</w:t>
      </w:r>
      <w:proofErr w:type="spellEnd"/>
      <w:r w:rsidRPr="003C17FD">
        <w:rPr>
          <w:rFonts w:ascii="Tenorite" w:hAnsi="Tenorite"/>
          <w:sz w:val="20"/>
          <w:szCs w:val="20"/>
        </w:rPr>
        <w:t xml:space="preserve"> 7 conformément au règlement (UE) no 528/2012 du Parlement européen et du Conseil (JOUE 01/04/2026)</w:t>
      </w:r>
    </w:p>
    <w:p w14:paraId="5B15D9F7" w14:textId="77777777" w:rsidR="007C3E1C" w:rsidRPr="003C17FD" w:rsidRDefault="007C3E1C" w:rsidP="007C3E1C">
      <w:pPr>
        <w:pStyle w:val="Textebrut"/>
        <w:ind w:left="142"/>
        <w:jc w:val="both"/>
        <w:rPr>
          <w:rFonts w:ascii="Tenorite" w:hAnsi="Tenorite"/>
          <w:sz w:val="20"/>
          <w:szCs w:val="20"/>
        </w:rPr>
      </w:pPr>
    </w:p>
    <w:p w14:paraId="2CDCF171" w14:textId="77777777" w:rsidR="00FD7719" w:rsidRPr="003C17FD" w:rsidRDefault="00FD7719" w:rsidP="00FD7719">
      <w:pPr>
        <w:pStyle w:val="Textebrut"/>
        <w:ind w:left="142"/>
        <w:jc w:val="both"/>
        <w:rPr>
          <w:rFonts w:ascii="Tenorite" w:eastAsia="Times New Roman" w:hAnsi="Tenorite"/>
          <w:sz w:val="20"/>
          <w:szCs w:val="20"/>
        </w:rPr>
      </w:pPr>
      <w:hyperlink r:id="rId18" w:history="1">
        <w:r w:rsidRPr="003C17FD">
          <w:rPr>
            <w:rStyle w:val="Lienhypertexte"/>
            <w:rFonts w:ascii="Tenorite" w:eastAsia="Times New Roman" w:hAnsi="Tenorite"/>
            <w:sz w:val="20"/>
            <w:szCs w:val="20"/>
          </w:rPr>
          <w:t>Rectificatif au règlement d’exécution</w:t>
        </w:r>
      </w:hyperlink>
      <w:r w:rsidRPr="003C17FD">
        <w:rPr>
          <w:rFonts w:ascii="Tenorite" w:eastAsia="Times New Roman" w:hAnsi="Tenorite"/>
          <w:sz w:val="20"/>
          <w:szCs w:val="20"/>
        </w:rPr>
        <w:t xml:space="preserve"> (UE) 2026/351 de la Commission du 18 février 2026 renouvelant l’approbation de la substance active </w:t>
      </w:r>
      <w:proofErr w:type="spellStart"/>
      <w:r w:rsidRPr="003C17FD">
        <w:rPr>
          <w:rFonts w:ascii="Tenorite" w:eastAsia="Times New Roman" w:hAnsi="Tenorite"/>
          <w:sz w:val="20"/>
          <w:szCs w:val="20"/>
        </w:rPr>
        <w:t>spinosad</w:t>
      </w:r>
      <w:proofErr w:type="spellEnd"/>
      <w:r w:rsidRPr="003C17FD">
        <w:rPr>
          <w:rFonts w:ascii="Tenorite" w:eastAsia="Times New Roman" w:hAnsi="Tenorite"/>
          <w:sz w:val="20"/>
          <w:szCs w:val="20"/>
        </w:rPr>
        <w:t xml:space="preserve"> conformément au règlement (CE) no 1107/2009 du Parlement européen et du Conseil et modifiant le règlement d’exécution (UE) no 540/2011 de la Commission (JOUE 17/04/2026)</w:t>
      </w:r>
    </w:p>
    <w:p w14:paraId="7057B231" w14:textId="77777777" w:rsidR="007C3E1C" w:rsidRDefault="007C3E1C"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9" w:history="1">
        <w:r w:rsidRPr="003C17FD">
          <w:rPr>
            <w:rStyle w:val="Lienhypertexte"/>
            <w:rFonts w:ascii="Tenorite" w:eastAsia="Times New Roman" w:hAnsi="Tenorite" w:cs="Times New Roman"/>
            <w:sz w:val="20"/>
            <w:szCs w:val="20"/>
            <w:lang w:eastAsia="fr-FR"/>
          </w:rPr>
          <w:t>Rectificatif</w:t>
        </w:r>
      </w:hyperlink>
      <w:r w:rsidRPr="003C17FD">
        <w:rPr>
          <w:rFonts w:ascii="Tenorite" w:eastAsia="Times New Roman" w:hAnsi="Tenorite" w:cs="Times New Roman"/>
          <w:color w:val="636363"/>
          <w:sz w:val="20"/>
          <w:szCs w:val="20"/>
          <w:lang w:eastAsia="fr-FR"/>
        </w:rPr>
        <w:t xml:space="preserve"> au résumé des décisions de la Commission européenne relatives aux autorisations de mise sur le marché en vue de l’utilisation et/ou aux autorisations d’utilisation de substances énumérées à l’annexe XIV du règlement (CE) no 1907/2006 du Parlement européen et du Conseil concernant l’enregistrement, l’évaluation et l’autorisation des substances chimiques, ainsi que les restrictions applicables à ces substances (REACH) [Publié en application de l’article 64, paragraphe 9, du règlement (CE) no 1907/2006] (JOUE 01/04/2026)</w:t>
      </w:r>
    </w:p>
    <w:p w14:paraId="26399728" w14:textId="77777777" w:rsidR="00802621" w:rsidRPr="003C17FD" w:rsidRDefault="00802621"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F5BFD5B" w14:textId="77777777" w:rsidR="007C3E1C" w:rsidRPr="003C17FD" w:rsidRDefault="007C3E1C"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0" w:history="1">
        <w:r w:rsidRPr="003C17FD">
          <w:rPr>
            <w:rStyle w:val="Lienhypertexte"/>
            <w:rFonts w:ascii="Tenorite" w:hAnsi="Tenorite"/>
            <w:sz w:val="20"/>
            <w:szCs w:val="20"/>
            <w:lang w:eastAsia="fr-FR"/>
          </w:rPr>
          <w:t>Règlement d’exécution</w:t>
        </w:r>
      </w:hyperlink>
      <w:r w:rsidRPr="003C17FD">
        <w:rPr>
          <w:rFonts w:ascii="Tenorite" w:hAnsi="Tenorite"/>
          <w:color w:val="636363"/>
          <w:sz w:val="20"/>
          <w:szCs w:val="20"/>
          <w:lang w:eastAsia="fr-FR"/>
        </w:rPr>
        <w:t xml:space="preserve"> (UE) 2026/823 de la Commission du 9 avril 2026 modifiant le règlement d’exécution (UE) 2024/2587 en ce qui concerne des modifications administratives de l’autorisation de l’Union pour la famille de produits biocides dénommée </w:t>
      </w:r>
      <w:proofErr w:type="spellStart"/>
      <w:r w:rsidRPr="003C17FD">
        <w:rPr>
          <w:rFonts w:ascii="Tenorite" w:hAnsi="Tenorite"/>
          <w:color w:val="636363"/>
          <w:sz w:val="20"/>
          <w:szCs w:val="20"/>
          <w:lang w:eastAsia="fr-FR"/>
        </w:rPr>
        <w:t>Divosan</w:t>
      </w:r>
      <w:proofErr w:type="spellEnd"/>
      <w:r w:rsidRPr="003C17FD">
        <w:rPr>
          <w:rFonts w:ascii="Tenorite" w:hAnsi="Tenorite"/>
          <w:color w:val="636363"/>
          <w:sz w:val="20"/>
          <w:szCs w:val="20"/>
          <w:lang w:eastAsia="fr-FR"/>
        </w:rPr>
        <w:t xml:space="preserve"> PAA </w:t>
      </w:r>
      <w:proofErr w:type="spellStart"/>
      <w:r w:rsidRPr="003C17FD">
        <w:rPr>
          <w:rFonts w:ascii="Tenorite" w:hAnsi="Tenorite"/>
          <w:color w:val="636363"/>
          <w:sz w:val="20"/>
          <w:szCs w:val="20"/>
          <w:lang w:eastAsia="fr-FR"/>
        </w:rPr>
        <w:t>products</w:t>
      </w:r>
      <w:proofErr w:type="spellEnd"/>
      <w:r w:rsidRPr="003C17FD">
        <w:rPr>
          <w:rFonts w:ascii="Tenorite" w:eastAsia="Times New Roman" w:hAnsi="Tenorite" w:cs="Times New Roman"/>
          <w:color w:val="636363"/>
          <w:sz w:val="20"/>
          <w:szCs w:val="20"/>
          <w:lang w:eastAsia="fr-FR"/>
        </w:rPr>
        <w:t xml:space="preserve"> (JOUE 16/04/2026)</w:t>
      </w:r>
    </w:p>
    <w:p w14:paraId="37137A21" w14:textId="77777777" w:rsidR="007C3E1C" w:rsidRPr="003C17FD" w:rsidRDefault="007C3E1C"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1411763" w14:textId="77777777" w:rsidR="007C3E1C" w:rsidRPr="003C17FD" w:rsidRDefault="007C3E1C"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21" w:history="1">
        <w:r w:rsidRPr="003C17FD">
          <w:rPr>
            <w:rStyle w:val="Lienhypertexte"/>
            <w:rFonts w:ascii="Tenorite" w:eastAsia="Times New Roman" w:hAnsi="Tenorite" w:cs="Times New Roman"/>
            <w:sz w:val="20"/>
            <w:szCs w:val="20"/>
            <w:lang w:eastAsia="fr-FR"/>
          </w:rPr>
          <w:t>Règlement d’exécution</w:t>
        </w:r>
      </w:hyperlink>
      <w:r w:rsidRPr="003C17FD">
        <w:rPr>
          <w:rFonts w:ascii="Tenorite" w:eastAsia="Times New Roman" w:hAnsi="Tenorite" w:cs="Times New Roman"/>
          <w:color w:val="636363"/>
          <w:sz w:val="20"/>
          <w:szCs w:val="20"/>
          <w:lang w:eastAsia="fr-FR"/>
        </w:rPr>
        <w:t xml:space="preserve"> (UE) 2026/829 de la Commission du 10 avril 2026 accordant une autorisation de l’Union pour le produit biocide unique </w:t>
      </w:r>
      <w:proofErr w:type="spellStart"/>
      <w:r w:rsidRPr="003C17FD">
        <w:rPr>
          <w:rFonts w:ascii="Tenorite" w:eastAsia="Times New Roman" w:hAnsi="Tenorite" w:cs="Times New Roman"/>
          <w:color w:val="636363"/>
          <w:sz w:val="20"/>
          <w:szCs w:val="20"/>
          <w:lang w:eastAsia="fr-FR"/>
        </w:rPr>
        <w:t>Bioxal</w:t>
      </w:r>
      <w:proofErr w:type="spellEnd"/>
      <w:r w:rsidRPr="003C17FD">
        <w:rPr>
          <w:rFonts w:ascii="Tenorite" w:eastAsia="Times New Roman" w:hAnsi="Tenorite" w:cs="Times New Roman"/>
          <w:color w:val="636363"/>
          <w:sz w:val="20"/>
          <w:szCs w:val="20"/>
          <w:lang w:eastAsia="fr-FR"/>
        </w:rPr>
        <w:t xml:space="preserve"> — </w:t>
      </w:r>
      <w:proofErr w:type="spellStart"/>
      <w:r w:rsidRPr="003C17FD">
        <w:rPr>
          <w:rFonts w:ascii="Tenorite" w:eastAsia="Times New Roman" w:hAnsi="Tenorite" w:cs="Times New Roman"/>
          <w:color w:val="636363"/>
          <w:sz w:val="20"/>
          <w:szCs w:val="20"/>
          <w:lang w:eastAsia="fr-FR"/>
        </w:rPr>
        <w:t>Soproper</w:t>
      </w:r>
      <w:proofErr w:type="spellEnd"/>
      <w:r w:rsidRPr="003C17FD">
        <w:rPr>
          <w:rFonts w:ascii="Tenorite" w:eastAsia="Times New Roman" w:hAnsi="Tenorite" w:cs="Times New Roman"/>
          <w:color w:val="636363"/>
          <w:sz w:val="20"/>
          <w:szCs w:val="20"/>
          <w:lang w:eastAsia="fr-FR"/>
        </w:rPr>
        <w:t xml:space="preserve"> conformément au règlement (UE) no 528/2012 du Parlement européen et du Conseil (JOUE 16/04/2026)</w:t>
      </w:r>
    </w:p>
    <w:p w14:paraId="392AEACF" w14:textId="77777777" w:rsidR="007C3E1C" w:rsidRPr="003C17FD" w:rsidRDefault="007C3E1C" w:rsidP="007C3E1C">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5D98AC5"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25AD6742"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2"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2026/891 de la Commission du 23 avril 2026 octroyant une autorisation de l’Union pour la famille de produits biocides dénommée </w:t>
      </w:r>
      <w:proofErr w:type="spellStart"/>
      <w:r w:rsidRPr="003C17FD">
        <w:rPr>
          <w:rFonts w:ascii="Tenorite" w:hAnsi="Tenorite"/>
          <w:sz w:val="20"/>
          <w:szCs w:val="20"/>
        </w:rPr>
        <w:t>Hydrogen</w:t>
      </w:r>
      <w:proofErr w:type="spellEnd"/>
      <w:r w:rsidRPr="003C17FD">
        <w:rPr>
          <w:rFonts w:ascii="Tenorite" w:hAnsi="Tenorite"/>
          <w:sz w:val="20"/>
          <w:szCs w:val="20"/>
        </w:rPr>
        <w:t xml:space="preserve"> </w:t>
      </w:r>
      <w:proofErr w:type="spellStart"/>
      <w:r w:rsidRPr="003C17FD">
        <w:rPr>
          <w:rFonts w:ascii="Tenorite" w:hAnsi="Tenorite"/>
          <w:sz w:val="20"/>
          <w:szCs w:val="20"/>
        </w:rPr>
        <w:t>Peroxide</w:t>
      </w:r>
      <w:proofErr w:type="spellEnd"/>
      <w:r w:rsidRPr="003C17FD">
        <w:rPr>
          <w:rFonts w:ascii="Tenorite" w:hAnsi="Tenorite"/>
          <w:sz w:val="20"/>
          <w:szCs w:val="20"/>
        </w:rPr>
        <w:t xml:space="preserve"> </w:t>
      </w:r>
      <w:proofErr w:type="spellStart"/>
      <w:r w:rsidRPr="003C17FD">
        <w:rPr>
          <w:rFonts w:ascii="Tenorite" w:hAnsi="Tenorite"/>
          <w:sz w:val="20"/>
          <w:szCs w:val="20"/>
        </w:rPr>
        <w:t>Products</w:t>
      </w:r>
      <w:proofErr w:type="spellEnd"/>
      <w:r w:rsidRPr="003C17FD">
        <w:rPr>
          <w:rFonts w:ascii="Tenorite" w:hAnsi="Tenorite"/>
          <w:sz w:val="20"/>
          <w:szCs w:val="20"/>
        </w:rPr>
        <w:t xml:space="preserve"> conformément au règlement (UE) no 528/2012 du Parlement européen et du Conseil (JOUE 24/04/2026)</w:t>
      </w:r>
    </w:p>
    <w:p w14:paraId="085F1197"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423293B0"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3" w:history="1">
        <w:r w:rsidRPr="003C17FD">
          <w:rPr>
            <w:rStyle w:val="Lienhypertexte"/>
            <w:rFonts w:ascii="Tenorite" w:hAnsi="Tenorite"/>
            <w:sz w:val="20"/>
            <w:szCs w:val="20"/>
          </w:rPr>
          <w:t>Résolution</w:t>
        </w:r>
      </w:hyperlink>
      <w:r w:rsidRPr="003C17FD">
        <w:rPr>
          <w:rFonts w:ascii="Tenorite" w:hAnsi="Tenorite"/>
          <w:sz w:val="20"/>
          <w:szCs w:val="20"/>
        </w:rPr>
        <w:t xml:space="preserve"> du Parlement européen du 25 novembre 2025 sur la garantie d’un enregistrement et d’une utilisation plus rapides des agents de lutte biologique (JOUE 24/04/2026)</w:t>
      </w:r>
    </w:p>
    <w:p w14:paraId="2958ABDE"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49C630D3"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4" w:history="1">
        <w:r w:rsidRPr="003C17FD">
          <w:rPr>
            <w:rStyle w:val="Lienhypertexte"/>
            <w:rFonts w:ascii="Tenorite" w:hAnsi="Tenorite"/>
            <w:sz w:val="20"/>
            <w:szCs w:val="20"/>
          </w:rPr>
          <w:t>Résumé</w:t>
        </w:r>
      </w:hyperlink>
      <w:r w:rsidRPr="003C17FD">
        <w:rPr>
          <w:rFonts w:ascii="Tenorite" w:hAnsi="Tenorite"/>
          <w:sz w:val="20"/>
          <w:szCs w:val="20"/>
        </w:rPr>
        <w:t xml:space="preserve"> des décisions de la Commission européenne relatives aux autorisations de mise sur le marché en vue de l’utilisation et/ou aux autorisations d’utilisation de substances énumérées à l’annexe XIV du règlement (CE) no 1907/2006 du Parlement européen et du Conseil concernant l’enregistrement, l’évaluation et l’autorisation des substances chimiques, ainsi que les restrictions applicables à ces substances (REACH) (JOUE 24/04/2026)</w:t>
      </w:r>
    </w:p>
    <w:p w14:paraId="534BEBF0"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22A73580"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5" w:history="1">
        <w:r w:rsidRPr="003C17FD">
          <w:rPr>
            <w:rStyle w:val="Lienhypertexte"/>
            <w:rFonts w:ascii="Tenorite" w:hAnsi="Tenorite"/>
            <w:sz w:val="20"/>
            <w:szCs w:val="20"/>
          </w:rPr>
          <w:t>Résumé</w:t>
        </w:r>
      </w:hyperlink>
      <w:r w:rsidRPr="003C17FD">
        <w:rPr>
          <w:rFonts w:ascii="Tenorite" w:hAnsi="Tenorite"/>
          <w:sz w:val="20"/>
          <w:szCs w:val="20"/>
        </w:rPr>
        <w:t xml:space="preserve"> des décisions de la Commission européenne relatives aux autorisations de mise sur le marché en vue de l’utilisation et/ou aux autorisations d’utilisation de substances énumérées à l’annexe XIV du règlement (CE) no 1907/2006 du Parlement européen et du Conseil concernant l’enregistrement, l’évaluation et l’autorisation des substances chimiques, ainsi que les restrictions applicables à ces substances (REACH) (JOUE 24/04/2026)</w:t>
      </w:r>
    </w:p>
    <w:p w14:paraId="03BC24C7"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63DB9F63"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6"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2026/870 de la Commission du 21 avril 2026 renouvelant l’approbation de la substance active huile de paraffine (CAS 8042-47-5) conformément au règlement (CE) no 1107/2009 du Parlement européen et du Conseil, et modifiant le règlement d’exécution (UE) no 540/2011 de la Commission (JOUE 22/04/2026)</w:t>
      </w:r>
    </w:p>
    <w:p w14:paraId="7B7E8289"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3F62BF5A"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7"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2026/899 de la Commission du 24 avril 2026 modifiant le règlement d’exécution (UE) 2020/579 en ce qui concerne des modifications administratives de l’autorisation de l’Union pour la famille de produits biocides </w:t>
      </w:r>
      <w:proofErr w:type="spellStart"/>
      <w:r w:rsidRPr="003C17FD">
        <w:rPr>
          <w:rFonts w:ascii="Tenorite" w:hAnsi="Tenorite"/>
          <w:sz w:val="20"/>
          <w:szCs w:val="20"/>
        </w:rPr>
        <w:t>HYPRED’s</w:t>
      </w:r>
      <w:proofErr w:type="spellEnd"/>
      <w:r w:rsidRPr="003C17FD">
        <w:rPr>
          <w:rFonts w:ascii="Tenorite" w:hAnsi="Tenorite"/>
          <w:sz w:val="20"/>
          <w:szCs w:val="20"/>
        </w:rPr>
        <w:t xml:space="preserve"> </w:t>
      </w:r>
      <w:proofErr w:type="spellStart"/>
      <w:r w:rsidRPr="003C17FD">
        <w:rPr>
          <w:rFonts w:ascii="Tenorite" w:hAnsi="Tenorite"/>
          <w:sz w:val="20"/>
          <w:szCs w:val="20"/>
        </w:rPr>
        <w:t>octanoic</w:t>
      </w:r>
      <w:proofErr w:type="spellEnd"/>
      <w:r w:rsidRPr="003C17FD">
        <w:rPr>
          <w:rFonts w:ascii="Tenorite" w:hAnsi="Tenorite"/>
          <w:sz w:val="20"/>
          <w:szCs w:val="20"/>
        </w:rPr>
        <w:t xml:space="preserve"> </w:t>
      </w:r>
      <w:proofErr w:type="spellStart"/>
      <w:r w:rsidRPr="003C17FD">
        <w:rPr>
          <w:rFonts w:ascii="Tenorite" w:hAnsi="Tenorite"/>
          <w:sz w:val="20"/>
          <w:szCs w:val="20"/>
        </w:rPr>
        <w:t>acid</w:t>
      </w:r>
      <w:proofErr w:type="spellEnd"/>
      <w:r w:rsidRPr="003C17FD">
        <w:rPr>
          <w:rFonts w:ascii="Tenorite" w:hAnsi="Tenorite"/>
          <w:sz w:val="20"/>
          <w:szCs w:val="20"/>
        </w:rPr>
        <w:t xml:space="preserve"> </w:t>
      </w:r>
      <w:proofErr w:type="spellStart"/>
      <w:r w:rsidRPr="003C17FD">
        <w:rPr>
          <w:rFonts w:ascii="Tenorite" w:hAnsi="Tenorite"/>
          <w:sz w:val="20"/>
          <w:szCs w:val="20"/>
        </w:rPr>
        <w:t>based</w:t>
      </w:r>
      <w:proofErr w:type="spellEnd"/>
      <w:r w:rsidRPr="003C17FD">
        <w:rPr>
          <w:rFonts w:ascii="Tenorite" w:hAnsi="Tenorite"/>
          <w:sz w:val="20"/>
          <w:szCs w:val="20"/>
        </w:rPr>
        <w:t xml:space="preserve"> </w:t>
      </w:r>
      <w:proofErr w:type="spellStart"/>
      <w:r w:rsidRPr="003C17FD">
        <w:rPr>
          <w:rFonts w:ascii="Tenorite" w:hAnsi="Tenorite"/>
          <w:sz w:val="20"/>
          <w:szCs w:val="20"/>
        </w:rPr>
        <w:t>products</w:t>
      </w:r>
      <w:proofErr w:type="spellEnd"/>
      <w:r w:rsidRPr="003C17FD">
        <w:rPr>
          <w:rFonts w:ascii="Tenorite" w:hAnsi="Tenorite"/>
          <w:sz w:val="20"/>
          <w:szCs w:val="20"/>
        </w:rPr>
        <w:t xml:space="preserve"> (JOUE 27/04/2026)</w:t>
      </w:r>
    </w:p>
    <w:p w14:paraId="4A53A3A8"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05BA3435"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28"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2026/900 de la Commission du 24 avril 2026 octroyant une autorisation de l’Union pour la famille de produits biocides dénommée </w:t>
      </w:r>
      <w:proofErr w:type="spellStart"/>
      <w:r w:rsidRPr="003C17FD">
        <w:rPr>
          <w:rFonts w:ascii="Tenorite" w:hAnsi="Tenorite"/>
          <w:sz w:val="20"/>
          <w:szCs w:val="20"/>
        </w:rPr>
        <w:t>Lactic</w:t>
      </w:r>
      <w:proofErr w:type="spellEnd"/>
      <w:r w:rsidRPr="003C17FD">
        <w:rPr>
          <w:rFonts w:ascii="Tenorite" w:hAnsi="Tenorite"/>
          <w:sz w:val="20"/>
          <w:szCs w:val="20"/>
        </w:rPr>
        <w:t xml:space="preserve"> Acid Product Family conformément au règlement (UE) no 528/2012 du Parlement européen et du Conseil (JOUE 27/04/2026)</w:t>
      </w:r>
    </w:p>
    <w:p w14:paraId="5371965E" w14:textId="77777777" w:rsidR="007C3E1C" w:rsidRPr="003C17FD" w:rsidRDefault="007C3E1C" w:rsidP="007C3E1C">
      <w:pPr>
        <w:shd w:val="clear" w:color="auto" w:fill="FFFFFF"/>
        <w:spacing w:after="0" w:line="240" w:lineRule="auto"/>
        <w:ind w:left="142"/>
        <w:jc w:val="both"/>
        <w:rPr>
          <w:rFonts w:ascii="Tenorite" w:hAnsi="Tenorite"/>
          <w:sz w:val="20"/>
          <w:szCs w:val="20"/>
        </w:rPr>
      </w:pPr>
    </w:p>
    <w:p w14:paraId="47A26811" w14:textId="77777777" w:rsidR="007C3E1C" w:rsidRPr="003C17FD" w:rsidRDefault="007C3E1C" w:rsidP="007C3E1C">
      <w:pPr>
        <w:shd w:val="clear" w:color="auto" w:fill="FFFFFF"/>
        <w:spacing w:after="0" w:line="240" w:lineRule="auto"/>
        <w:ind w:left="142"/>
        <w:jc w:val="both"/>
        <w:rPr>
          <w:rStyle w:val="Lienhypertexte"/>
          <w:rFonts w:ascii="Tenorite" w:hAnsi="Tenorite"/>
          <w:color w:val="auto"/>
          <w:sz w:val="20"/>
          <w:szCs w:val="20"/>
        </w:rPr>
      </w:pPr>
      <w:hyperlink r:id="rId29" w:history="1">
        <w:r w:rsidRPr="003C17FD">
          <w:rPr>
            <w:rStyle w:val="Lienhypertexte"/>
            <w:rFonts w:ascii="Tenorite" w:hAnsi="Tenorite"/>
            <w:sz w:val="20"/>
            <w:szCs w:val="20"/>
          </w:rPr>
          <w:t>Rectificatif</w:t>
        </w:r>
      </w:hyperlink>
      <w:r w:rsidRPr="003C17FD">
        <w:rPr>
          <w:rStyle w:val="Lienhypertexte"/>
          <w:rFonts w:ascii="Tenorite" w:hAnsi="Tenorite"/>
          <w:color w:val="auto"/>
          <w:sz w:val="20"/>
          <w:szCs w:val="20"/>
        </w:rPr>
        <w:t xml:space="preserve"> au règlement d’exécution (UE) 2026/355 de la Commission du 18 février 2026 renouvelant l’approbation de la substance active pyriméthanil conformément au règlement (CE) no 1107/2009 du Parlement européen et du Conseil, et modifiant le règlement d’exécution (UE) no 540/2011 de la Commission (JOUE 30/04/2026)</w:t>
      </w:r>
    </w:p>
    <w:p w14:paraId="3C7F3ECD" w14:textId="77777777" w:rsidR="007C3E1C" w:rsidRPr="003C17FD" w:rsidRDefault="007C3E1C" w:rsidP="007C3E1C">
      <w:pPr>
        <w:shd w:val="clear" w:color="auto" w:fill="FFFFFF"/>
        <w:spacing w:after="0" w:line="240" w:lineRule="auto"/>
        <w:ind w:left="142"/>
        <w:jc w:val="both"/>
        <w:rPr>
          <w:rStyle w:val="Lienhypertexte"/>
          <w:rFonts w:ascii="Tenorite" w:hAnsi="Tenorite"/>
          <w:color w:val="auto"/>
          <w:sz w:val="20"/>
          <w:szCs w:val="20"/>
        </w:rPr>
      </w:pPr>
    </w:p>
    <w:p w14:paraId="78990427" w14:textId="77777777" w:rsidR="007C3E1C" w:rsidRPr="003C17FD" w:rsidRDefault="007C3E1C" w:rsidP="007C3E1C">
      <w:pPr>
        <w:shd w:val="clear" w:color="auto" w:fill="FFFFFF"/>
        <w:spacing w:after="0" w:line="240" w:lineRule="auto"/>
        <w:ind w:left="142"/>
        <w:jc w:val="both"/>
        <w:rPr>
          <w:rFonts w:ascii="Tenorite" w:hAnsi="Tenorite"/>
          <w:sz w:val="20"/>
          <w:szCs w:val="20"/>
        </w:rPr>
      </w:pPr>
      <w:hyperlink r:id="rId30" w:history="1">
        <w:r w:rsidRPr="003C17FD">
          <w:rPr>
            <w:rStyle w:val="Lienhypertexte"/>
            <w:rFonts w:ascii="Tenorite" w:hAnsi="Tenorite"/>
            <w:sz w:val="20"/>
            <w:szCs w:val="20"/>
          </w:rPr>
          <w:t>Rectificatif</w:t>
        </w:r>
      </w:hyperlink>
      <w:r w:rsidRPr="003C17FD">
        <w:rPr>
          <w:rStyle w:val="Lienhypertexte"/>
          <w:rFonts w:ascii="Tenorite" w:hAnsi="Tenorite"/>
          <w:color w:val="auto"/>
          <w:sz w:val="20"/>
          <w:szCs w:val="20"/>
        </w:rPr>
        <w:t xml:space="preserve"> au règlement d’exécution (UE) 2026/312 de la Commission du 10 février 2026 renouvelant l’approbation de la </w:t>
      </w:r>
      <w:proofErr w:type="spellStart"/>
      <w:r w:rsidRPr="003C17FD">
        <w:rPr>
          <w:rStyle w:val="Lienhypertexte"/>
          <w:rFonts w:ascii="Tenorite" w:hAnsi="Tenorite"/>
          <w:color w:val="auto"/>
          <w:sz w:val="20"/>
          <w:szCs w:val="20"/>
        </w:rPr>
        <w:t>maltodextrine</w:t>
      </w:r>
      <w:proofErr w:type="spellEnd"/>
      <w:r w:rsidRPr="003C17FD">
        <w:rPr>
          <w:rStyle w:val="Lienhypertexte"/>
          <w:rFonts w:ascii="Tenorite" w:hAnsi="Tenorite"/>
          <w:color w:val="auto"/>
          <w:sz w:val="20"/>
          <w:szCs w:val="20"/>
        </w:rPr>
        <w:t xml:space="preserve"> en tant que substance active à faible risque conformément au règlement (CE) no 1107/2009 du Parlement européen et du Conseil, et modifiant le règlement d’exécution (UE) no 540/2011 de la Commission (JOUE 30/04/2026)</w:t>
      </w:r>
    </w:p>
    <w:p w14:paraId="431DB834" w14:textId="77777777" w:rsidR="002B7CB6" w:rsidRPr="005F3EA3" w:rsidRDefault="002B7CB6" w:rsidP="002B7CB6">
      <w:pPr>
        <w:spacing w:after="0" w:line="240" w:lineRule="auto"/>
        <w:ind w:left="284" w:hanging="142"/>
        <w:rPr>
          <w:rFonts w:ascii="Tenorite" w:eastAsia="MS Gothic" w:hAnsi="Tenorite" w:cs="Segoe UI Symbol"/>
          <w:b/>
          <w:sz w:val="28"/>
        </w:rPr>
      </w:pPr>
    </w:p>
    <w:p w14:paraId="6630880B" w14:textId="670186DB"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75D86915" w14:textId="18E9B9D4"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Médicaments vétérinaires</w:t>
      </w:r>
    </w:p>
    <w:p w14:paraId="6D06B3AB" w14:textId="77777777" w:rsidR="00454D3B" w:rsidRPr="003C17FD" w:rsidRDefault="00454D3B" w:rsidP="00454D3B">
      <w:pPr>
        <w:shd w:val="clear" w:color="auto" w:fill="FFFFFF"/>
        <w:spacing w:after="0" w:line="240" w:lineRule="auto"/>
        <w:ind w:left="142"/>
        <w:jc w:val="both"/>
        <w:rPr>
          <w:rFonts w:ascii="Tenorite" w:hAnsi="Tenorite"/>
          <w:sz w:val="20"/>
          <w:szCs w:val="20"/>
        </w:rPr>
      </w:pPr>
      <w:hyperlink r:id="rId31"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2026/892 de la Commission du 23 avril 2026 modifiant le règlement (UE) no 37/2010 en ce qui concerne la classification de la substance lidocaïne et sa limite maximale de résidus dans les aliments d’origine animale (JOUE 24/04/2026)</w:t>
      </w:r>
    </w:p>
    <w:p w14:paraId="4929FD01" w14:textId="0CD210A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21744192" w14:textId="77777777" w:rsidR="00454D3B" w:rsidRDefault="00454D3B" w:rsidP="00454D3B">
      <w:pPr>
        <w:pStyle w:val="Textebrut"/>
        <w:ind w:left="142"/>
        <w:jc w:val="both"/>
        <w:rPr>
          <w:rFonts w:ascii="Tenorite" w:hAnsi="Tenorite"/>
          <w:sz w:val="20"/>
          <w:szCs w:val="20"/>
        </w:rPr>
      </w:pPr>
      <w:hyperlink r:id="rId32" w:history="1">
        <w:r w:rsidRPr="003C17FD">
          <w:rPr>
            <w:rStyle w:val="Lienhypertexte"/>
            <w:rFonts w:ascii="Tenorite" w:hAnsi="Tenorite"/>
            <w:sz w:val="20"/>
            <w:szCs w:val="20"/>
          </w:rPr>
          <w:t>Arrêté</w:t>
        </w:r>
      </w:hyperlink>
      <w:r w:rsidRPr="003C17FD">
        <w:rPr>
          <w:rFonts w:ascii="Tenorite" w:hAnsi="Tenorite"/>
          <w:sz w:val="20"/>
          <w:szCs w:val="20"/>
        </w:rPr>
        <w:t xml:space="preserve"> du 2 avril 2026 relatif à l'établissement d'une limite maximale de résidus d'esfenvalérate sur les cerises mises sur le marché français (JORF 12/04/2026)</w:t>
      </w:r>
    </w:p>
    <w:p w14:paraId="7581D1EA" w14:textId="77777777" w:rsidR="00454D3B" w:rsidRPr="003C17FD" w:rsidRDefault="00454D3B" w:rsidP="00454D3B">
      <w:pPr>
        <w:pStyle w:val="Textebrut"/>
        <w:ind w:left="142"/>
        <w:jc w:val="both"/>
        <w:rPr>
          <w:rFonts w:ascii="Tenorite" w:hAnsi="Tenorite"/>
          <w:sz w:val="20"/>
          <w:szCs w:val="20"/>
        </w:rPr>
      </w:pPr>
    </w:p>
    <w:p w14:paraId="6EB9BCD9" w14:textId="77777777" w:rsidR="00454D3B" w:rsidRDefault="00454D3B" w:rsidP="00454D3B">
      <w:pPr>
        <w:pStyle w:val="Textebrut"/>
        <w:ind w:left="142"/>
        <w:jc w:val="both"/>
        <w:rPr>
          <w:rFonts w:ascii="Tenorite" w:hAnsi="Tenorite"/>
          <w:sz w:val="20"/>
          <w:szCs w:val="20"/>
        </w:rPr>
      </w:pPr>
      <w:hyperlink r:id="rId33" w:history="1">
        <w:r w:rsidRPr="003C17FD">
          <w:rPr>
            <w:rStyle w:val="Lienhypertexte"/>
            <w:rFonts w:ascii="Tenorite" w:hAnsi="Tenorite"/>
            <w:sz w:val="20"/>
            <w:szCs w:val="20"/>
          </w:rPr>
          <w:t>Règlement</w:t>
        </w:r>
      </w:hyperlink>
      <w:r w:rsidRPr="003C17FD">
        <w:rPr>
          <w:rFonts w:ascii="Tenorite" w:hAnsi="Tenorite"/>
          <w:sz w:val="20"/>
          <w:szCs w:val="20"/>
        </w:rPr>
        <w:t xml:space="preserve"> (UE) 2026/751 de la Commission du 31 mars 2026 rectifiant le règlement (CE) no 396/2005 du Parlement européen et du Conseil en ce qui concerne les limites maximales applicables aux résidus de </w:t>
      </w:r>
      <w:proofErr w:type="spellStart"/>
      <w:r w:rsidRPr="003C17FD">
        <w:rPr>
          <w:rFonts w:ascii="Tenorite" w:hAnsi="Tenorite"/>
          <w:sz w:val="20"/>
          <w:szCs w:val="20"/>
        </w:rPr>
        <w:t>flupyradifurone</w:t>
      </w:r>
      <w:proofErr w:type="spellEnd"/>
      <w:r w:rsidRPr="003C17FD">
        <w:rPr>
          <w:rFonts w:ascii="Tenorite" w:hAnsi="Tenorite"/>
          <w:sz w:val="20"/>
          <w:szCs w:val="20"/>
        </w:rPr>
        <w:t xml:space="preserve"> et de </w:t>
      </w:r>
      <w:proofErr w:type="spellStart"/>
      <w:r w:rsidRPr="003C17FD">
        <w:rPr>
          <w:rFonts w:ascii="Tenorite" w:hAnsi="Tenorite"/>
          <w:sz w:val="20"/>
          <w:szCs w:val="20"/>
        </w:rPr>
        <w:t>phosphonate</w:t>
      </w:r>
      <w:proofErr w:type="spellEnd"/>
      <w:r w:rsidRPr="003C17FD">
        <w:rPr>
          <w:rFonts w:ascii="Tenorite" w:hAnsi="Tenorite"/>
          <w:sz w:val="20"/>
          <w:szCs w:val="20"/>
        </w:rPr>
        <w:t xml:space="preserve"> de </w:t>
      </w:r>
      <w:proofErr w:type="gramStart"/>
      <w:r w:rsidRPr="003C17FD">
        <w:rPr>
          <w:rFonts w:ascii="Tenorite" w:hAnsi="Tenorite"/>
          <w:sz w:val="20"/>
          <w:szCs w:val="20"/>
        </w:rPr>
        <w:t>potassium présents</w:t>
      </w:r>
      <w:proofErr w:type="gramEnd"/>
      <w:r w:rsidRPr="003C17FD">
        <w:rPr>
          <w:rFonts w:ascii="Tenorite" w:hAnsi="Tenorite"/>
          <w:sz w:val="20"/>
          <w:szCs w:val="20"/>
        </w:rPr>
        <w:t xml:space="preserve"> dans ou sur certains produits (JOUE 01/04/2026)</w:t>
      </w:r>
    </w:p>
    <w:p w14:paraId="668EB935" w14:textId="0E29A3FC" w:rsidR="00454D3B" w:rsidRPr="003C17FD" w:rsidRDefault="00454D3B" w:rsidP="00454D3B">
      <w:pPr>
        <w:pStyle w:val="Textebrut"/>
        <w:ind w:left="142"/>
        <w:jc w:val="both"/>
        <w:rPr>
          <w:rFonts w:ascii="Tenorite" w:hAnsi="Tenorite"/>
          <w:sz w:val="20"/>
          <w:szCs w:val="20"/>
        </w:rPr>
      </w:pPr>
    </w:p>
    <w:p w14:paraId="0C640125" w14:textId="77777777" w:rsidR="00454D3B" w:rsidRPr="003C17FD" w:rsidRDefault="00454D3B" w:rsidP="00454D3B">
      <w:pPr>
        <w:pStyle w:val="Textebrut"/>
        <w:ind w:left="142"/>
        <w:jc w:val="both"/>
        <w:rPr>
          <w:rFonts w:ascii="Tenorite" w:hAnsi="Tenorite"/>
          <w:sz w:val="20"/>
          <w:szCs w:val="20"/>
        </w:rPr>
      </w:pPr>
      <w:hyperlink r:id="rId34" w:history="1">
        <w:r w:rsidRPr="003C17FD">
          <w:rPr>
            <w:rStyle w:val="Lienhypertexte"/>
            <w:rFonts w:ascii="Tenorite" w:hAnsi="Tenorite"/>
            <w:sz w:val="20"/>
            <w:szCs w:val="20"/>
          </w:rPr>
          <w:t>Règlement</w:t>
        </w:r>
      </w:hyperlink>
      <w:r w:rsidRPr="003C17FD">
        <w:rPr>
          <w:rFonts w:ascii="Tenorite" w:hAnsi="Tenorite"/>
          <w:sz w:val="20"/>
          <w:szCs w:val="20"/>
        </w:rPr>
        <w:t xml:space="preserve"> (UE) 2026/752 de la Commission du 31 mars 2026 modifiant l’annexe IV du règlement (CE) no 396/2005 du Parlement européen et du Conseil en ce qui concerne les limites maximales applicables aux résidus des substances Allium </w:t>
      </w:r>
      <w:proofErr w:type="spellStart"/>
      <w:r w:rsidRPr="003C17FD">
        <w:rPr>
          <w:rFonts w:ascii="Tenorite" w:hAnsi="Tenorite"/>
          <w:sz w:val="20"/>
          <w:szCs w:val="20"/>
        </w:rPr>
        <w:t>fistulosum</w:t>
      </w:r>
      <w:proofErr w:type="spellEnd"/>
      <w:r w:rsidRPr="003C17FD">
        <w:rPr>
          <w:rFonts w:ascii="Tenorite" w:hAnsi="Tenorite"/>
          <w:sz w:val="20"/>
          <w:szCs w:val="20"/>
        </w:rPr>
        <w:t xml:space="preserve">, </w:t>
      </w:r>
      <w:proofErr w:type="gramStart"/>
      <w:r w:rsidRPr="003C17FD">
        <w:rPr>
          <w:rFonts w:ascii="Tenorite" w:hAnsi="Tenorite"/>
          <w:sz w:val="20"/>
          <w:szCs w:val="20"/>
        </w:rPr>
        <w:t>transformé;</w:t>
      </w:r>
      <w:proofErr w:type="gramEnd"/>
      <w:r w:rsidRPr="003C17FD">
        <w:rPr>
          <w:rFonts w:ascii="Tenorite" w:hAnsi="Tenorite"/>
          <w:sz w:val="20"/>
          <w:szCs w:val="20"/>
        </w:rPr>
        <w:t xml:space="preserve"> lysat de </w:t>
      </w:r>
      <w:proofErr w:type="spellStart"/>
      <w:r w:rsidRPr="003C17FD">
        <w:rPr>
          <w:rFonts w:ascii="Tenorite" w:hAnsi="Tenorite"/>
          <w:sz w:val="20"/>
          <w:szCs w:val="20"/>
        </w:rPr>
        <w:t>Willaertia</w:t>
      </w:r>
      <w:proofErr w:type="spellEnd"/>
      <w:r w:rsidRPr="003C17FD">
        <w:rPr>
          <w:rFonts w:ascii="Tenorite" w:hAnsi="Tenorite"/>
          <w:sz w:val="20"/>
          <w:szCs w:val="20"/>
        </w:rPr>
        <w:t xml:space="preserve"> </w:t>
      </w:r>
      <w:proofErr w:type="gramStart"/>
      <w:r w:rsidRPr="003C17FD">
        <w:rPr>
          <w:rFonts w:ascii="Tenorite" w:hAnsi="Tenorite"/>
          <w:sz w:val="20"/>
          <w:szCs w:val="20"/>
        </w:rPr>
        <w:t>magna;</w:t>
      </w:r>
      <w:proofErr w:type="gramEnd"/>
      <w:r w:rsidRPr="003C17FD">
        <w:rPr>
          <w:rFonts w:ascii="Tenorite" w:hAnsi="Tenorite"/>
          <w:sz w:val="20"/>
          <w:szCs w:val="20"/>
        </w:rPr>
        <w:t xml:space="preserve"> hydroxyde de magnésium E</w:t>
      </w:r>
      <w:proofErr w:type="gramStart"/>
      <w:r w:rsidRPr="003C17FD">
        <w:rPr>
          <w:rFonts w:ascii="Tenorite" w:hAnsi="Tenorite"/>
          <w:sz w:val="20"/>
          <w:szCs w:val="20"/>
        </w:rPr>
        <w:t>528;</w:t>
      </w:r>
      <w:proofErr w:type="gramEnd"/>
      <w:r w:rsidRPr="003C17FD">
        <w:rPr>
          <w:rFonts w:ascii="Tenorite" w:hAnsi="Tenorite"/>
          <w:sz w:val="20"/>
          <w:szCs w:val="20"/>
        </w:rPr>
        <w:t xml:space="preserve"> granulés déshydratés d’</w:t>
      </w:r>
      <w:proofErr w:type="spellStart"/>
      <w:r w:rsidRPr="003C17FD">
        <w:rPr>
          <w:rFonts w:ascii="Tenorite" w:hAnsi="Tenorite"/>
          <w:sz w:val="20"/>
          <w:szCs w:val="20"/>
        </w:rPr>
        <w:t>Onobrychis</w:t>
      </w:r>
      <w:proofErr w:type="spellEnd"/>
      <w:r w:rsidRPr="003C17FD">
        <w:rPr>
          <w:rFonts w:ascii="Tenorite" w:hAnsi="Tenorite"/>
          <w:sz w:val="20"/>
          <w:szCs w:val="20"/>
        </w:rPr>
        <w:t xml:space="preserve"> </w:t>
      </w:r>
      <w:proofErr w:type="spellStart"/>
      <w:r w:rsidRPr="003C17FD">
        <w:rPr>
          <w:rFonts w:ascii="Tenorite" w:hAnsi="Tenorite"/>
          <w:sz w:val="20"/>
          <w:szCs w:val="20"/>
        </w:rPr>
        <w:t>viciifolia</w:t>
      </w:r>
      <w:proofErr w:type="spellEnd"/>
      <w:r w:rsidRPr="003C17FD">
        <w:rPr>
          <w:rFonts w:ascii="Tenorite" w:hAnsi="Tenorite"/>
          <w:sz w:val="20"/>
          <w:szCs w:val="20"/>
        </w:rPr>
        <w:t xml:space="preserve"> (sainfoin) et extrait de pépins de Vitis </w:t>
      </w:r>
      <w:proofErr w:type="spellStart"/>
      <w:r w:rsidRPr="003C17FD">
        <w:rPr>
          <w:rFonts w:ascii="Tenorite" w:hAnsi="Tenorite"/>
          <w:sz w:val="20"/>
          <w:szCs w:val="20"/>
        </w:rPr>
        <w:t>vinifera</w:t>
      </w:r>
      <w:proofErr w:type="spellEnd"/>
      <w:r w:rsidRPr="003C17FD">
        <w:rPr>
          <w:rFonts w:ascii="Tenorite" w:hAnsi="Tenorite"/>
          <w:sz w:val="20"/>
          <w:szCs w:val="20"/>
        </w:rPr>
        <w:t xml:space="preserve"> L. (extrait de pépins de raisin) présentes dans ou sur certains produits (JOUE 01/04/2026)</w:t>
      </w:r>
    </w:p>
    <w:p w14:paraId="738CA894" w14:textId="77777777" w:rsidR="00454D3B" w:rsidRPr="003C17FD" w:rsidRDefault="00454D3B" w:rsidP="00454D3B">
      <w:pPr>
        <w:pStyle w:val="Textebrut"/>
        <w:ind w:left="142"/>
        <w:jc w:val="both"/>
        <w:rPr>
          <w:rFonts w:ascii="Tenorite" w:hAnsi="Tenorite"/>
          <w:sz w:val="20"/>
          <w:szCs w:val="20"/>
        </w:rPr>
      </w:pPr>
    </w:p>
    <w:p w14:paraId="762C222F" w14:textId="77777777" w:rsidR="00454D3B" w:rsidRDefault="00454D3B" w:rsidP="00454D3B">
      <w:pPr>
        <w:pStyle w:val="Textebrut"/>
        <w:ind w:left="142"/>
        <w:jc w:val="both"/>
        <w:rPr>
          <w:rFonts w:ascii="Tenorite" w:hAnsi="Tenorite"/>
          <w:sz w:val="20"/>
          <w:szCs w:val="20"/>
        </w:rPr>
      </w:pPr>
      <w:hyperlink r:id="rId35" w:history="1">
        <w:r w:rsidRPr="003C17FD">
          <w:rPr>
            <w:rStyle w:val="Lienhypertexte"/>
            <w:rFonts w:ascii="Tenorite" w:hAnsi="Tenorite"/>
            <w:sz w:val="20"/>
            <w:szCs w:val="20"/>
          </w:rPr>
          <w:t>Règlement</w:t>
        </w:r>
      </w:hyperlink>
      <w:r w:rsidRPr="003C17FD">
        <w:rPr>
          <w:rFonts w:ascii="Tenorite" w:hAnsi="Tenorite"/>
          <w:sz w:val="20"/>
          <w:szCs w:val="20"/>
        </w:rPr>
        <w:t xml:space="preserve"> d’exécution (UE) 2026/748 de la Commission du 31 mars 2026 concernant un programme de contrôle, pluriannuel et coordonné, de l’Union pour 2027, 2028 et 2029 destiné à garantir le respect des limites maximales de résidus de pesticides dans et sur les denrées alimentaires d’origine végétale et animale et à évaluer l’exposition du consommateur à ces résidus, et abrogeant le règlement d’exécution (UE) 2025/854 (JOUE 01/04/2026)</w:t>
      </w:r>
    </w:p>
    <w:p w14:paraId="63CFB040" w14:textId="77777777" w:rsidR="00454D3B" w:rsidRDefault="00454D3B" w:rsidP="00454D3B">
      <w:pPr>
        <w:pStyle w:val="Textebrut"/>
        <w:ind w:left="142"/>
        <w:jc w:val="both"/>
        <w:rPr>
          <w:rFonts w:ascii="Tenorite" w:hAnsi="Tenorite"/>
          <w:sz w:val="20"/>
          <w:szCs w:val="20"/>
        </w:rPr>
      </w:pPr>
    </w:p>
    <w:p w14:paraId="3A47090F" w14:textId="77777777" w:rsidR="00454D3B" w:rsidRPr="003C17FD" w:rsidRDefault="00454D3B" w:rsidP="00454D3B">
      <w:pPr>
        <w:pStyle w:val="Textebrut"/>
        <w:ind w:left="142"/>
        <w:jc w:val="both"/>
        <w:rPr>
          <w:rFonts w:ascii="Tenorite" w:hAnsi="Tenorite"/>
          <w:sz w:val="20"/>
          <w:szCs w:val="20"/>
        </w:rPr>
      </w:pPr>
      <w:hyperlink r:id="rId36" w:history="1">
        <w:r w:rsidRPr="003C17FD">
          <w:rPr>
            <w:rStyle w:val="Lienhypertexte"/>
            <w:rFonts w:ascii="Tenorite" w:hAnsi="Tenorite"/>
            <w:sz w:val="20"/>
            <w:szCs w:val="20"/>
          </w:rPr>
          <w:t>Règlement</w:t>
        </w:r>
      </w:hyperlink>
      <w:r w:rsidRPr="003C17FD">
        <w:rPr>
          <w:rFonts w:ascii="Tenorite" w:hAnsi="Tenorite"/>
          <w:sz w:val="20"/>
          <w:szCs w:val="20"/>
        </w:rPr>
        <w:t xml:space="preserve"> d’exécution (UE) 2026/765 de la Commission du 1er avril 2026 relatif aux méthodes d’échantillonnage et d’analyse ainsi qu’à l’interprétation des résultats pour le contrôle officiel des résidus de pesticides sur et dans les denrées alimentaires et les aliments pour animaux d’origine végétale et animale, et abrogeant la directive 2002/63/CE (JOUE 07/04/2026)</w:t>
      </w:r>
    </w:p>
    <w:p w14:paraId="5233488F" w14:textId="77777777" w:rsidR="00454D3B" w:rsidRPr="003C17FD" w:rsidRDefault="00454D3B" w:rsidP="00454D3B">
      <w:pPr>
        <w:pStyle w:val="Titre3"/>
        <w:shd w:val="clear" w:color="auto" w:fill="FFFFFF"/>
        <w:spacing w:before="0" w:beforeAutospacing="0" w:after="0" w:afterAutospacing="0"/>
        <w:ind w:left="142"/>
        <w:jc w:val="both"/>
        <w:rPr>
          <w:rFonts w:ascii="Tenorite" w:hAnsi="Tenorite" w:cstheme="minorHAnsi"/>
          <w:sz w:val="20"/>
          <w:szCs w:val="20"/>
        </w:rPr>
      </w:pPr>
    </w:p>
    <w:p w14:paraId="14737410" w14:textId="77777777" w:rsidR="00454D3B" w:rsidRPr="003C17FD" w:rsidRDefault="00454D3B" w:rsidP="00454D3B">
      <w:pPr>
        <w:shd w:val="clear" w:color="auto" w:fill="FFFFFF"/>
        <w:spacing w:after="0" w:line="240" w:lineRule="auto"/>
        <w:ind w:left="142"/>
        <w:jc w:val="both"/>
        <w:rPr>
          <w:rFonts w:ascii="Tenorite" w:eastAsia="Times New Roman" w:hAnsi="Tenorite" w:cstheme="minorHAnsi"/>
          <w:color w:val="636363"/>
          <w:sz w:val="20"/>
          <w:szCs w:val="20"/>
          <w:lang w:eastAsia="fr-FR"/>
        </w:rPr>
      </w:pPr>
      <w:hyperlink r:id="rId37" w:history="1">
        <w:r w:rsidRPr="003C17FD">
          <w:rPr>
            <w:rStyle w:val="Lienhypertexte"/>
            <w:rFonts w:ascii="Tenorite" w:eastAsia="Times New Roman" w:hAnsi="Tenorite" w:cstheme="minorHAnsi"/>
            <w:sz w:val="20"/>
            <w:szCs w:val="20"/>
            <w:lang w:eastAsia="fr-FR"/>
          </w:rPr>
          <w:t>Règlement d’exécution</w:t>
        </w:r>
      </w:hyperlink>
      <w:r w:rsidRPr="003C17FD">
        <w:rPr>
          <w:rFonts w:ascii="Tenorite" w:eastAsia="Times New Roman" w:hAnsi="Tenorite" w:cstheme="minorHAnsi"/>
          <w:color w:val="636363"/>
          <w:sz w:val="20"/>
          <w:szCs w:val="20"/>
          <w:lang w:eastAsia="fr-FR"/>
        </w:rPr>
        <w:t xml:space="preserve"> (UE) 2026/824 de la Commission du 14 avril 2026 corrigeant le règlement d’exécution (UE) 2025/854 en ce qui concerne la définition des résidus de fosétyl-Al et la liste des denrées alimentaires à analyser eu égard aux cations </w:t>
      </w:r>
      <w:proofErr w:type="spellStart"/>
      <w:r w:rsidRPr="003C17FD">
        <w:rPr>
          <w:rFonts w:ascii="Tenorite" w:eastAsia="Times New Roman" w:hAnsi="Tenorite" w:cstheme="minorHAnsi"/>
          <w:color w:val="636363"/>
          <w:sz w:val="20"/>
          <w:szCs w:val="20"/>
          <w:lang w:eastAsia="fr-FR"/>
        </w:rPr>
        <w:t>triméthylsulfonium</w:t>
      </w:r>
      <w:proofErr w:type="spellEnd"/>
      <w:r w:rsidRPr="003C17FD">
        <w:rPr>
          <w:rFonts w:ascii="Tenorite" w:eastAsia="Times New Roman" w:hAnsi="Tenorite" w:cstheme="minorHAnsi"/>
          <w:color w:val="636363"/>
          <w:sz w:val="20"/>
          <w:szCs w:val="20"/>
          <w:lang w:eastAsia="fr-FR"/>
        </w:rPr>
        <w:t xml:space="preserve"> (JOUE 15/04/2026)</w:t>
      </w:r>
    </w:p>
    <w:p w14:paraId="2C3842AF" w14:textId="77777777" w:rsidR="00454D3B" w:rsidRPr="003C17FD" w:rsidRDefault="00454D3B" w:rsidP="00454D3B">
      <w:pPr>
        <w:shd w:val="clear" w:color="auto" w:fill="FFFFFF"/>
        <w:spacing w:after="0" w:line="240" w:lineRule="auto"/>
        <w:ind w:left="142"/>
        <w:jc w:val="both"/>
        <w:rPr>
          <w:rFonts w:ascii="Tenorite" w:eastAsia="Times New Roman" w:hAnsi="Tenorite" w:cstheme="minorHAnsi"/>
          <w:color w:val="636363"/>
          <w:sz w:val="20"/>
          <w:szCs w:val="20"/>
          <w:lang w:eastAsia="fr-FR"/>
        </w:rPr>
      </w:pPr>
    </w:p>
    <w:p w14:paraId="0563083F" w14:textId="77777777" w:rsidR="00454D3B" w:rsidRPr="003C17FD" w:rsidRDefault="00454D3B" w:rsidP="00454D3B">
      <w:pPr>
        <w:pStyle w:val="Textebrut"/>
        <w:ind w:left="142"/>
        <w:jc w:val="both"/>
        <w:rPr>
          <w:rFonts w:ascii="Tenorite" w:hAnsi="Tenorite"/>
          <w:sz w:val="20"/>
          <w:szCs w:val="20"/>
        </w:rPr>
      </w:pPr>
      <w:hyperlink r:id="rId38" w:history="1">
        <w:r w:rsidRPr="003C17FD">
          <w:rPr>
            <w:rStyle w:val="Lienhypertexte"/>
            <w:rFonts w:ascii="Tenorite" w:hAnsi="Tenorite"/>
            <w:sz w:val="20"/>
            <w:szCs w:val="20"/>
          </w:rPr>
          <w:t>Règlement</w:t>
        </w:r>
      </w:hyperlink>
      <w:r w:rsidRPr="003C17FD">
        <w:rPr>
          <w:rFonts w:ascii="Tenorite" w:hAnsi="Tenorite"/>
          <w:sz w:val="20"/>
          <w:szCs w:val="20"/>
        </w:rPr>
        <w:t xml:space="preserve"> (UE) 2026/840 de la Commission du 15 avril 2026 modifiant les annexes II et III du règlement (CE) no 396/2005 du Parlement européen et du Conseil en ce qui concerne les limites maximales applicables aux résidus des composés du cuivre présents dans ou sur certains produits (JOUE 16/04/2026)</w:t>
      </w:r>
    </w:p>
    <w:p w14:paraId="4340161A" w14:textId="77777777" w:rsidR="00454D3B" w:rsidRPr="003C17FD" w:rsidRDefault="00454D3B" w:rsidP="00454D3B">
      <w:pPr>
        <w:pStyle w:val="Textebrut"/>
        <w:ind w:left="142"/>
        <w:jc w:val="both"/>
        <w:rPr>
          <w:rFonts w:ascii="Tenorite" w:hAnsi="Tenorite"/>
          <w:sz w:val="20"/>
          <w:szCs w:val="20"/>
        </w:rPr>
      </w:pPr>
    </w:p>
    <w:p w14:paraId="0C9CCCA6" w14:textId="77777777" w:rsidR="00454D3B" w:rsidRDefault="00454D3B" w:rsidP="00454D3B">
      <w:pPr>
        <w:shd w:val="clear" w:color="auto" w:fill="FFFFFF"/>
        <w:spacing w:after="0" w:line="240" w:lineRule="auto"/>
        <w:ind w:left="142"/>
        <w:jc w:val="both"/>
        <w:rPr>
          <w:rFonts w:ascii="Tenorite" w:hAnsi="Tenorite"/>
          <w:sz w:val="20"/>
          <w:szCs w:val="20"/>
        </w:rPr>
      </w:pPr>
      <w:hyperlink r:id="rId39" w:history="1">
        <w:r w:rsidRPr="003C17FD">
          <w:rPr>
            <w:rStyle w:val="Lienhypertexte"/>
            <w:rFonts w:ascii="Tenorite" w:hAnsi="Tenorite"/>
            <w:sz w:val="20"/>
            <w:szCs w:val="20"/>
          </w:rPr>
          <w:t>Règlement</w:t>
        </w:r>
      </w:hyperlink>
      <w:r w:rsidRPr="003C17FD">
        <w:rPr>
          <w:rFonts w:ascii="Tenorite" w:hAnsi="Tenorite"/>
          <w:sz w:val="20"/>
          <w:szCs w:val="20"/>
        </w:rPr>
        <w:t xml:space="preserve"> (UE) 2026/876 de la Commission du 21 avril 2026 modifiant l’annexe II du règlement (CE) no 396/2005 du Parlement européen et du Conseil en ce qui concerne les limites maximales applicables aux résidus d’acétamipride, d’</w:t>
      </w:r>
      <w:proofErr w:type="spellStart"/>
      <w:r w:rsidRPr="003C17FD">
        <w:rPr>
          <w:rFonts w:ascii="Tenorite" w:hAnsi="Tenorite"/>
          <w:sz w:val="20"/>
          <w:szCs w:val="20"/>
        </w:rPr>
        <w:t>aclonifène</w:t>
      </w:r>
      <w:proofErr w:type="spellEnd"/>
      <w:r w:rsidRPr="003C17FD">
        <w:rPr>
          <w:rFonts w:ascii="Tenorite" w:hAnsi="Tenorite"/>
          <w:sz w:val="20"/>
          <w:szCs w:val="20"/>
        </w:rPr>
        <w:t>, de deltaméthrine, d’</w:t>
      </w:r>
      <w:proofErr w:type="spellStart"/>
      <w:r w:rsidRPr="003C17FD">
        <w:rPr>
          <w:rFonts w:ascii="Tenorite" w:hAnsi="Tenorite"/>
          <w:sz w:val="20"/>
          <w:szCs w:val="20"/>
        </w:rPr>
        <w:t>oxathiapiproline</w:t>
      </w:r>
      <w:proofErr w:type="spellEnd"/>
      <w:r w:rsidRPr="003C17FD">
        <w:rPr>
          <w:rFonts w:ascii="Tenorite" w:hAnsi="Tenorite"/>
          <w:sz w:val="20"/>
          <w:szCs w:val="20"/>
        </w:rPr>
        <w:t xml:space="preserve"> et de </w:t>
      </w:r>
      <w:proofErr w:type="spellStart"/>
      <w:r w:rsidRPr="003C17FD">
        <w:rPr>
          <w:rFonts w:ascii="Tenorite" w:hAnsi="Tenorite"/>
          <w:sz w:val="20"/>
          <w:szCs w:val="20"/>
        </w:rPr>
        <w:t>phosphonates</w:t>
      </w:r>
      <w:proofErr w:type="spellEnd"/>
      <w:r w:rsidRPr="003C17FD">
        <w:rPr>
          <w:rFonts w:ascii="Tenorite" w:hAnsi="Tenorite"/>
          <w:sz w:val="20"/>
          <w:szCs w:val="20"/>
        </w:rPr>
        <w:t xml:space="preserve"> de </w:t>
      </w:r>
      <w:proofErr w:type="gramStart"/>
      <w:r w:rsidRPr="003C17FD">
        <w:rPr>
          <w:rFonts w:ascii="Tenorite" w:hAnsi="Tenorite"/>
          <w:sz w:val="20"/>
          <w:szCs w:val="20"/>
        </w:rPr>
        <w:t>potassium présents</w:t>
      </w:r>
      <w:proofErr w:type="gramEnd"/>
      <w:r w:rsidRPr="003C17FD">
        <w:rPr>
          <w:rFonts w:ascii="Tenorite" w:hAnsi="Tenorite"/>
          <w:sz w:val="20"/>
          <w:szCs w:val="20"/>
        </w:rPr>
        <w:t xml:space="preserve"> dans ou sur certains produits (JOUE 22/04/2026)</w:t>
      </w:r>
    </w:p>
    <w:p w14:paraId="6C34E683" w14:textId="77777777" w:rsidR="00802621" w:rsidRPr="003C17FD" w:rsidRDefault="00802621" w:rsidP="00454D3B">
      <w:pPr>
        <w:shd w:val="clear" w:color="auto" w:fill="FFFFFF"/>
        <w:spacing w:after="0" w:line="240" w:lineRule="auto"/>
        <w:ind w:left="142"/>
        <w:jc w:val="both"/>
        <w:rPr>
          <w:rFonts w:ascii="Tenorite" w:hAnsi="Tenorite"/>
          <w:sz w:val="20"/>
          <w:szCs w:val="20"/>
        </w:rPr>
      </w:pPr>
    </w:p>
    <w:p w14:paraId="7B15C6BD" w14:textId="267B7458" w:rsidR="00767DBA" w:rsidRPr="005F3EA3"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PFAS</w:t>
      </w:r>
    </w:p>
    <w:p w14:paraId="722DA8FF" w14:textId="77777777" w:rsidR="00C04182" w:rsidRPr="003C17FD" w:rsidRDefault="00C04182" w:rsidP="00C04182">
      <w:pPr>
        <w:shd w:val="clear" w:color="auto" w:fill="FFFFFF"/>
        <w:spacing w:after="0" w:line="240" w:lineRule="auto"/>
        <w:ind w:left="142"/>
        <w:jc w:val="both"/>
        <w:rPr>
          <w:rFonts w:ascii="Tenorite" w:hAnsi="Tenorite"/>
          <w:sz w:val="20"/>
          <w:szCs w:val="20"/>
        </w:rPr>
      </w:pPr>
      <w:hyperlink r:id="rId40" w:history="1">
        <w:r w:rsidRPr="003C17FD">
          <w:rPr>
            <w:rStyle w:val="Lienhypertexte"/>
            <w:rFonts w:ascii="Tenorite" w:hAnsi="Tenorite"/>
            <w:sz w:val="20"/>
            <w:szCs w:val="20"/>
          </w:rPr>
          <w:t>Arrêté</w:t>
        </w:r>
      </w:hyperlink>
      <w:r w:rsidRPr="003C17FD">
        <w:rPr>
          <w:rFonts w:ascii="Tenorite" w:hAnsi="Tenorite"/>
          <w:sz w:val="20"/>
          <w:szCs w:val="20"/>
        </w:rPr>
        <w:t xml:space="preserve"> du 20 avril 2026 modifiant l'arrêté du 3 septembre 2025 relatif à l'analyse de substances per- et </w:t>
      </w:r>
      <w:proofErr w:type="spellStart"/>
      <w:r w:rsidRPr="003C17FD">
        <w:rPr>
          <w:rFonts w:ascii="Tenorite" w:hAnsi="Tenorite"/>
          <w:sz w:val="20"/>
          <w:szCs w:val="20"/>
        </w:rPr>
        <w:t>polyfluoroalkylées</w:t>
      </w:r>
      <w:proofErr w:type="spellEnd"/>
      <w:r w:rsidRPr="003C17FD">
        <w:rPr>
          <w:rFonts w:ascii="Tenorite" w:hAnsi="Tenorite"/>
          <w:sz w:val="20"/>
          <w:szCs w:val="20"/>
        </w:rPr>
        <w:t xml:space="preserve"> dans les eaux en entrée et sortie de stations de traitement des eaux usées urbaines (JORF 28/04/2026)</w:t>
      </w:r>
    </w:p>
    <w:p w14:paraId="5CB92A02" w14:textId="77777777" w:rsidR="00C04182" w:rsidRPr="003C17FD" w:rsidRDefault="00C04182" w:rsidP="00C04182">
      <w:pPr>
        <w:pStyle w:val="Textebrut"/>
        <w:ind w:left="142"/>
        <w:jc w:val="both"/>
        <w:rPr>
          <w:rFonts w:ascii="Tenorite" w:hAnsi="Tenorite"/>
          <w:sz w:val="20"/>
          <w:szCs w:val="20"/>
        </w:rPr>
      </w:pPr>
    </w:p>
    <w:p w14:paraId="2EDE4BFC" w14:textId="17075274"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Autres contaminants</w:t>
      </w:r>
    </w:p>
    <w:p w14:paraId="60C624A5" w14:textId="77777777" w:rsidR="00C04182" w:rsidRPr="003C17FD" w:rsidRDefault="00C04182" w:rsidP="00C04182">
      <w:pPr>
        <w:shd w:val="clear" w:color="auto" w:fill="FFFFFF"/>
        <w:spacing w:after="0" w:line="240" w:lineRule="auto"/>
        <w:ind w:left="142"/>
        <w:jc w:val="both"/>
        <w:rPr>
          <w:rStyle w:val="Lienhypertexte"/>
          <w:rFonts w:ascii="Tenorite" w:hAnsi="Tenorite"/>
          <w:color w:val="auto"/>
          <w:sz w:val="20"/>
          <w:szCs w:val="20"/>
        </w:rPr>
      </w:pPr>
      <w:hyperlink r:id="rId41" w:history="1">
        <w:r w:rsidRPr="003C17FD">
          <w:rPr>
            <w:rStyle w:val="Lienhypertexte"/>
            <w:rFonts w:ascii="Tenorite" w:hAnsi="Tenorite"/>
            <w:sz w:val="20"/>
            <w:szCs w:val="20"/>
          </w:rPr>
          <w:t>Décision</w:t>
        </w:r>
      </w:hyperlink>
      <w:r w:rsidRPr="003C17FD">
        <w:rPr>
          <w:rFonts w:ascii="Tenorite" w:hAnsi="Tenorite"/>
          <w:sz w:val="20"/>
          <w:szCs w:val="20"/>
        </w:rPr>
        <w:t xml:space="preserve"> (UE) 2026/878 du Conseil du 30 mars 2026 relative à la présentation, au nom de l’Union européenne, d’une proposition d’inscription du TBPH à l’annexe A de la convention de Stockholm sur les polluants organiques persistants </w:t>
      </w:r>
      <w:r w:rsidRPr="003C17FD">
        <w:rPr>
          <w:rStyle w:val="Lienhypertexte"/>
          <w:rFonts w:ascii="Tenorite" w:hAnsi="Tenorite"/>
          <w:color w:val="auto"/>
          <w:sz w:val="20"/>
          <w:szCs w:val="20"/>
        </w:rPr>
        <w:t>(JOUE 30/04/2026)</w:t>
      </w: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01B12948"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36C2BDFD" w14:textId="6469BD9D" w:rsidR="00767DBA" w:rsidRPr="005F3EA3" w:rsidRDefault="005671AA"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5112D211" w14:textId="77777777" w:rsidR="002F17D1" w:rsidRDefault="002F17D1" w:rsidP="002F17D1">
      <w:pPr>
        <w:spacing w:after="0" w:line="240" w:lineRule="auto"/>
        <w:ind w:left="142"/>
        <w:rPr>
          <w:rFonts w:ascii="Tenorite" w:hAnsi="Tenorite"/>
          <w:color w:val="C45911" w:themeColor="accent2" w:themeShade="BF"/>
          <w:sz w:val="20"/>
        </w:rPr>
      </w:pPr>
    </w:p>
    <w:p w14:paraId="4C66B7AE" w14:textId="77777777" w:rsidR="005671AA" w:rsidRPr="005F3EA3" w:rsidRDefault="005671AA" w:rsidP="002F17D1">
      <w:pPr>
        <w:spacing w:after="0" w:line="240" w:lineRule="auto"/>
        <w:ind w:left="142"/>
        <w:rPr>
          <w:rFonts w:ascii="Tenorite" w:hAnsi="Tenorite"/>
          <w:color w:val="C45911" w:themeColor="accent2" w:themeShade="BF"/>
          <w:sz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37111F7A" w14:textId="77777777" w:rsidR="00454D3B" w:rsidRPr="003C17FD" w:rsidRDefault="00454D3B" w:rsidP="00454D3B">
      <w:pPr>
        <w:shd w:val="clear" w:color="auto" w:fill="FFFFFF"/>
        <w:spacing w:after="0" w:line="240" w:lineRule="auto"/>
        <w:ind w:left="142"/>
        <w:jc w:val="both"/>
        <w:rPr>
          <w:rFonts w:ascii="Tenorite" w:hAnsi="Tenorite"/>
          <w:sz w:val="20"/>
          <w:szCs w:val="20"/>
        </w:rPr>
      </w:pPr>
      <w:r w:rsidRPr="003C17FD">
        <w:rPr>
          <w:rFonts w:ascii="Tenorite" w:eastAsia="Times New Roman" w:hAnsi="Tenorite" w:cs="Times New Roman"/>
          <w:b/>
          <w:bCs/>
          <w:color w:val="636363"/>
          <w:sz w:val="20"/>
          <w:szCs w:val="20"/>
          <w:lang w:eastAsia="fr-FR"/>
        </w:rPr>
        <w:t>Instruction technique </w:t>
      </w:r>
      <w:hyperlink r:id="rId42" w:history="1">
        <w:r w:rsidRPr="003C17FD">
          <w:rPr>
            <w:rFonts w:ascii="Tenorite" w:eastAsia="Times New Roman" w:hAnsi="Tenorite" w:cs="Times New Roman"/>
            <w:color w:val="000091"/>
            <w:sz w:val="20"/>
            <w:szCs w:val="20"/>
            <w:u w:val="single"/>
            <w:lang w:eastAsia="fr-FR"/>
          </w:rPr>
          <w:t>DGAL/MUS/2026-180</w:t>
        </w:r>
      </w:hyperlink>
      <w:r w:rsidRPr="003C17FD">
        <w:rPr>
          <w:rFonts w:ascii="Tenorite" w:eastAsia="Times New Roman" w:hAnsi="Tenorite" w:cs="Times New Roman"/>
          <w:color w:val="636363"/>
          <w:sz w:val="20"/>
          <w:szCs w:val="20"/>
          <w:lang w:eastAsia="fr-FR"/>
        </w:rPr>
        <w:t> du 01-04-2026 - Usage du système d’information des évènements sanitaires (Sèves) dans le domaine alimentaire (DGAL)</w:t>
      </w:r>
    </w:p>
    <w:p w14:paraId="7F5C7775" w14:textId="4FEBC38B" w:rsidR="002F17D1"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p w14:paraId="251970E3" w14:textId="77777777" w:rsidR="00454D3B" w:rsidRPr="003C17FD" w:rsidRDefault="00454D3B" w:rsidP="00454D3B">
      <w:pPr>
        <w:adjustRightInd w:val="0"/>
        <w:spacing w:after="0" w:line="240" w:lineRule="auto"/>
        <w:ind w:left="142"/>
        <w:jc w:val="both"/>
        <w:rPr>
          <w:rFonts w:ascii="Tenorite" w:eastAsia="SimSun" w:hAnsi="Tenorite" w:cs="SimianText-Orangutan"/>
          <w:color w:val="5D5541"/>
          <w:sz w:val="20"/>
          <w:szCs w:val="20"/>
          <w:lang w:eastAsia="zh-CN"/>
        </w:rPr>
      </w:pPr>
      <w:hyperlink r:id="rId43" w:history="1">
        <w:r w:rsidRPr="003C17FD">
          <w:rPr>
            <w:rStyle w:val="Lienhypertexte"/>
            <w:rFonts w:ascii="Tenorite" w:eastAsia="SimSun" w:hAnsi="Tenorite" w:cs="SimianText-Orangutan"/>
            <w:sz w:val="20"/>
            <w:szCs w:val="20"/>
            <w:lang w:eastAsia="zh-CN"/>
          </w:rPr>
          <w:t>Bulletin des vigilances</w:t>
        </w:r>
      </w:hyperlink>
      <w:r w:rsidRPr="003C17FD">
        <w:rPr>
          <w:rFonts w:ascii="Tenorite" w:eastAsia="SimSun" w:hAnsi="Tenorite" w:cs="SimianText-Orangutan"/>
          <w:color w:val="5D5541"/>
          <w:sz w:val="20"/>
          <w:szCs w:val="20"/>
          <w:lang w:eastAsia="zh-CN"/>
        </w:rPr>
        <w:t>, numéro 28, Avril 2026</w:t>
      </w:r>
    </w:p>
    <w:p w14:paraId="5C4E0C63" w14:textId="435E840F" w:rsidR="00767DBA" w:rsidRDefault="00767DBA" w:rsidP="001B42BB">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t>BuSCA</w:t>
      </w:r>
      <w:proofErr w:type="spellEnd"/>
    </w:p>
    <w:p w14:paraId="20FD7397" w14:textId="77777777" w:rsidR="00454D3B" w:rsidRPr="003C17FD" w:rsidRDefault="00454D3B" w:rsidP="00454D3B">
      <w:pPr>
        <w:adjustRightInd w:val="0"/>
        <w:spacing w:after="0" w:line="240" w:lineRule="auto"/>
        <w:ind w:left="142"/>
        <w:jc w:val="both"/>
        <w:rPr>
          <w:rFonts w:ascii="Tenorite" w:hAnsi="Tenorite"/>
          <w:b/>
          <w:bCs/>
          <w:sz w:val="20"/>
          <w:szCs w:val="20"/>
        </w:rPr>
      </w:pPr>
      <w:hyperlink r:id="rId44" w:history="1">
        <w:proofErr w:type="spellStart"/>
        <w:r w:rsidRPr="003C17FD">
          <w:rPr>
            <w:rStyle w:val="Lienhypertexte"/>
            <w:rFonts w:ascii="Tenorite" w:hAnsi="Tenorite"/>
            <w:sz w:val="20"/>
            <w:szCs w:val="20"/>
          </w:rPr>
          <w:t>BuSCA</w:t>
        </w:r>
        <w:proofErr w:type="spellEnd"/>
        <w:r w:rsidRPr="003C17FD">
          <w:rPr>
            <w:rStyle w:val="Lienhypertexte"/>
            <w:rFonts w:ascii="Tenorite" w:hAnsi="Tenorite"/>
            <w:sz w:val="20"/>
            <w:szCs w:val="20"/>
          </w:rPr>
          <w:t xml:space="preserve"> n°153</w:t>
        </w:r>
      </w:hyperlink>
      <w:r w:rsidRPr="003C17FD">
        <w:rPr>
          <w:rFonts w:ascii="Tenorite" w:hAnsi="Tenorite"/>
          <w:sz w:val="20"/>
          <w:szCs w:val="20"/>
        </w:rPr>
        <w:t>- 02 avril 2026, Plateforme de surveillance de la chaîne alimentaire</w:t>
      </w:r>
    </w:p>
    <w:p w14:paraId="0514572B" w14:textId="77777777" w:rsidR="00454D3B" w:rsidRPr="003C17FD" w:rsidRDefault="00454D3B" w:rsidP="00454D3B">
      <w:pPr>
        <w:adjustRightInd w:val="0"/>
        <w:spacing w:after="0" w:line="240" w:lineRule="auto"/>
        <w:ind w:left="142"/>
        <w:jc w:val="both"/>
        <w:rPr>
          <w:rFonts w:ascii="Tenorite" w:hAnsi="Tenorite"/>
          <w:sz w:val="20"/>
          <w:szCs w:val="20"/>
        </w:rPr>
      </w:pPr>
      <w:hyperlink r:id="rId45" w:history="1">
        <w:proofErr w:type="spellStart"/>
        <w:r w:rsidRPr="003C17FD">
          <w:rPr>
            <w:rStyle w:val="Lienhypertexte"/>
            <w:rFonts w:ascii="Tenorite" w:hAnsi="Tenorite"/>
            <w:sz w:val="20"/>
            <w:szCs w:val="20"/>
          </w:rPr>
          <w:t>BuSCA</w:t>
        </w:r>
        <w:proofErr w:type="spellEnd"/>
        <w:r w:rsidRPr="003C17FD">
          <w:rPr>
            <w:rStyle w:val="Lienhypertexte"/>
            <w:rFonts w:ascii="Tenorite" w:hAnsi="Tenorite"/>
            <w:sz w:val="20"/>
            <w:szCs w:val="20"/>
          </w:rPr>
          <w:t xml:space="preserve"> n° 154</w:t>
        </w:r>
      </w:hyperlink>
      <w:r w:rsidRPr="003C17FD">
        <w:rPr>
          <w:rFonts w:ascii="Tenorite" w:hAnsi="Tenorite"/>
          <w:sz w:val="20"/>
          <w:szCs w:val="20"/>
        </w:rPr>
        <w:t xml:space="preserve"> - 17/04/2026, Plateforme de surveillance de la chaîne alimentaire</w:t>
      </w:r>
    </w:p>
    <w:p w14:paraId="34B039FE" w14:textId="77777777" w:rsidR="00454D3B" w:rsidRDefault="00454D3B" w:rsidP="00454D3B">
      <w:pPr>
        <w:adjustRightInd w:val="0"/>
        <w:spacing w:after="0" w:line="240" w:lineRule="auto"/>
        <w:ind w:left="142"/>
        <w:jc w:val="both"/>
        <w:rPr>
          <w:rFonts w:ascii="Tenorite" w:hAnsi="Tenorite"/>
          <w:sz w:val="20"/>
          <w:szCs w:val="20"/>
        </w:rPr>
      </w:pPr>
      <w:hyperlink r:id="rId46" w:history="1">
        <w:proofErr w:type="spellStart"/>
        <w:r w:rsidRPr="003C17FD">
          <w:rPr>
            <w:rStyle w:val="Lienhypertexte"/>
            <w:rFonts w:ascii="Tenorite" w:hAnsi="Tenorite"/>
            <w:sz w:val="20"/>
            <w:szCs w:val="20"/>
          </w:rPr>
          <w:t>BuSCA</w:t>
        </w:r>
        <w:proofErr w:type="spellEnd"/>
        <w:r w:rsidRPr="003C17FD">
          <w:rPr>
            <w:rStyle w:val="Lienhypertexte"/>
            <w:rFonts w:ascii="Tenorite" w:hAnsi="Tenorite"/>
            <w:sz w:val="20"/>
            <w:szCs w:val="20"/>
          </w:rPr>
          <w:t xml:space="preserve"> n° 155</w:t>
        </w:r>
      </w:hyperlink>
      <w:r w:rsidRPr="003C17FD">
        <w:rPr>
          <w:rFonts w:ascii="Tenorite" w:hAnsi="Tenorite"/>
          <w:sz w:val="20"/>
          <w:szCs w:val="20"/>
        </w:rPr>
        <w:t xml:space="preserve"> - 30/04/2026, Plateforme de surveillance de la chaîne alimentaire</w:t>
      </w:r>
    </w:p>
    <w:p w14:paraId="67B5F95C" w14:textId="77777777" w:rsidR="00802621" w:rsidRPr="003C17FD" w:rsidRDefault="00802621" w:rsidP="00454D3B">
      <w:pPr>
        <w:adjustRightInd w:val="0"/>
        <w:spacing w:after="0" w:line="240" w:lineRule="auto"/>
        <w:ind w:left="142"/>
        <w:jc w:val="both"/>
        <w:rPr>
          <w:rFonts w:ascii="Tenorite" w:hAnsi="Tenorite"/>
          <w:sz w:val="20"/>
          <w:szCs w:val="20"/>
        </w:rPr>
      </w:pPr>
    </w:p>
    <w:p w14:paraId="7D1944E0" w14:textId="2C4BB729"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3A714EC6" w14:textId="77777777" w:rsidR="00454D3B" w:rsidRDefault="00454D3B" w:rsidP="00454D3B">
      <w:pPr>
        <w:adjustRightInd w:val="0"/>
        <w:spacing w:after="0" w:line="240" w:lineRule="auto"/>
        <w:ind w:left="142"/>
        <w:jc w:val="both"/>
        <w:rPr>
          <w:rFonts w:ascii="Tenorite" w:hAnsi="Tenorite"/>
          <w:sz w:val="20"/>
          <w:szCs w:val="20"/>
        </w:rPr>
      </w:pPr>
      <w:r w:rsidRPr="003C17FD">
        <w:rPr>
          <w:rFonts w:ascii="Tenorite" w:hAnsi="Tenorite"/>
          <w:sz w:val="20"/>
          <w:szCs w:val="20"/>
        </w:rPr>
        <w:t xml:space="preserve">Newsletter </w:t>
      </w:r>
      <w:hyperlink r:id="rId47" w:history="1">
        <w:proofErr w:type="gramStart"/>
        <w:r w:rsidRPr="003C17FD">
          <w:rPr>
            <w:rStyle w:val="Lienhypertexte"/>
            <w:rFonts w:ascii="Tenorite" w:hAnsi="Tenorite"/>
            <w:sz w:val="20"/>
            <w:szCs w:val="20"/>
          </w:rPr>
          <w:t>Février</w:t>
        </w:r>
        <w:proofErr w:type="gramEnd"/>
        <w:r w:rsidRPr="003C17FD">
          <w:rPr>
            <w:rStyle w:val="Lienhypertexte"/>
            <w:rFonts w:ascii="Tenorite" w:hAnsi="Tenorite"/>
            <w:sz w:val="20"/>
            <w:szCs w:val="20"/>
          </w:rPr>
          <w:t xml:space="preserve"> et mars 2026</w:t>
        </w:r>
      </w:hyperlink>
      <w:r w:rsidRPr="003C17FD">
        <w:rPr>
          <w:rFonts w:ascii="Tenorite" w:hAnsi="Tenorite"/>
          <w:sz w:val="20"/>
          <w:szCs w:val="20"/>
        </w:rPr>
        <w:t>, Fraudes alimentaires, Commission européenne</w:t>
      </w:r>
    </w:p>
    <w:p w14:paraId="26CD88E0" w14:textId="77777777" w:rsidR="00802621" w:rsidRPr="003C17FD" w:rsidRDefault="00802621" w:rsidP="00454D3B">
      <w:pPr>
        <w:adjustRightInd w:val="0"/>
        <w:spacing w:after="0" w:line="240" w:lineRule="auto"/>
        <w:ind w:left="142"/>
        <w:jc w:val="both"/>
        <w:rPr>
          <w:rFonts w:ascii="Tenorite" w:hAnsi="Tenorite"/>
          <w:sz w:val="20"/>
          <w:szCs w:val="20"/>
        </w:rPr>
      </w:pPr>
    </w:p>
    <w:p w14:paraId="4D744FC4" w14:textId="19A25B68"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7B69A5B2" w14:textId="77777777" w:rsidR="00454D3B" w:rsidRPr="003C17FD" w:rsidRDefault="00454D3B" w:rsidP="00454D3B">
      <w:pPr>
        <w:shd w:val="clear" w:color="auto" w:fill="FFFFFF"/>
        <w:spacing w:after="0" w:line="240" w:lineRule="auto"/>
        <w:ind w:left="142"/>
        <w:jc w:val="both"/>
        <w:rPr>
          <w:rFonts w:ascii="Tenorite" w:hAnsi="Tenorite"/>
          <w:sz w:val="20"/>
          <w:szCs w:val="20"/>
        </w:rPr>
      </w:pPr>
      <w:r w:rsidRPr="003C17FD">
        <w:rPr>
          <w:rFonts w:ascii="Tenorite" w:eastAsia="Times New Roman" w:hAnsi="Tenorite" w:cs="Times New Roman"/>
          <w:b/>
          <w:bCs/>
          <w:color w:val="636363"/>
          <w:sz w:val="20"/>
          <w:szCs w:val="20"/>
          <w:lang w:eastAsia="fr-FR"/>
        </w:rPr>
        <w:lastRenderedPageBreak/>
        <w:t>Instruction technique </w:t>
      </w:r>
      <w:hyperlink r:id="rId48" w:history="1">
        <w:r w:rsidRPr="003C17FD">
          <w:rPr>
            <w:rStyle w:val="Lienhypertexte"/>
            <w:rFonts w:ascii="Tenorite" w:eastAsia="Times New Roman" w:hAnsi="Tenorite" w:cs="Times New Roman"/>
            <w:sz w:val="20"/>
            <w:szCs w:val="20"/>
            <w:lang w:eastAsia="fr-FR"/>
          </w:rPr>
          <w:t>DGAL/SDSSA/2026-185</w:t>
        </w:r>
      </w:hyperlink>
      <w:r w:rsidRPr="003C17FD">
        <w:rPr>
          <w:rFonts w:ascii="Tenorite" w:eastAsia="Times New Roman" w:hAnsi="Tenorite" w:cs="Times New Roman"/>
          <w:color w:val="636363"/>
          <w:sz w:val="20"/>
          <w:szCs w:val="20"/>
          <w:lang w:eastAsia="fr-FR"/>
        </w:rPr>
        <w:t xml:space="preserve"> du 03-04-2026 - Obligations de formation en matière d'hygiène des aliments adaptée à l'activité des établissements de remise directe y compris ceux proposant des activités de </w:t>
      </w:r>
      <w:proofErr w:type="gramStart"/>
      <w:r w:rsidRPr="003C17FD">
        <w:rPr>
          <w:rFonts w:ascii="Tenorite" w:eastAsia="Times New Roman" w:hAnsi="Tenorite" w:cs="Times New Roman"/>
          <w:color w:val="636363"/>
          <w:sz w:val="20"/>
          <w:szCs w:val="20"/>
          <w:lang w:eastAsia="fr-FR"/>
        </w:rPr>
        <w:t>restauration.(</w:t>
      </w:r>
      <w:proofErr w:type="gramEnd"/>
      <w:r w:rsidRPr="003C17FD">
        <w:rPr>
          <w:rFonts w:ascii="Tenorite" w:eastAsia="Times New Roman" w:hAnsi="Tenorite" w:cs="Times New Roman"/>
          <w:color w:val="636363"/>
          <w:sz w:val="20"/>
          <w:szCs w:val="20"/>
          <w:lang w:eastAsia="fr-FR"/>
        </w:rPr>
        <w:t>DGAL)</w:t>
      </w:r>
    </w:p>
    <w:p w14:paraId="60549313" w14:textId="77777777" w:rsidR="001B42BB" w:rsidRPr="005F3EA3" w:rsidRDefault="001B42BB" w:rsidP="001B42BB">
      <w:pPr>
        <w:spacing w:after="0" w:line="240" w:lineRule="auto"/>
        <w:ind w:left="284" w:hanging="142"/>
        <w:rPr>
          <w:rFonts w:ascii="Tenorite" w:hAnsi="Tenorite"/>
          <w:color w:val="C45911" w:themeColor="accent2" w:themeShade="BF"/>
          <w:sz w:val="20"/>
        </w:rPr>
      </w:pPr>
    </w:p>
    <w:p w14:paraId="5417E9F6" w14:textId="6E2A768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4B78B2C6" w14:textId="77777777" w:rsidR="00B45859" w:rsidRPr="003C17FD" w:rsidRDefault="00B45859" w:rsidP="00B45859">
      <w:pPr>
        <w:shd w:val="clear" w:color="auto" w:fill="FFFFFF"/>
        <w:spacing w:after="0" w:line="240" w:lineRule="auto"/>
        <w:ind w:left="142"/>
        <w:jc w:val="both"/>
        <w:rPr>
          <w:rFonts w:ascii="Tenorite" w:hAnsi="Tenorite"/>
          <w:sz w:val="20"/>
          <w:szCs w:val="20"/>
        </w:rPr>
      </w:pPr>
      <w:hyperlink r:id="rId49" w:history="1">
        <w:r w:rsidRPr="003C17FD">
          <w:rPr>
            <w:rStyle w:val="Lienhypertexte"/>
            <w:rFonts w:ascii="Tenorite" w:hAnsi="Tenorite"/>
            <w:sz w:val="20"/>
            <w:szCs w:val="20"/>
          </w:rPr>
          <w:t>Amendements</w:t>
        </w:r>
      </w:hyperlink>
      <w:r w:rsidRPr="003C17FD">
        <w:rPr>
          <w:rFonts w:ascii="Tenorite" w:hAnsi="Tenorite"/>
          <w:sz w:val="20"/>
          <w:szCs w:val="20"/>
        </w:rPr>
        <w:t xml:space="preserve"> du Parlement européen, adoptés le 26 novembre 2025, à la proposition de règlement du Parlement européen et du Conseil modifiant le règlement (UE) 2023/1115 en ce qui concerne certaines obligations incombant aux opérateurs et aux commerçants [Déforestation] (JOUE 24/04/2026)</w:t>
      </w:r>
    </w:p>
    <w:p w14:paraId="57299278" w14:textId="77777777" w:rsidR="00B45859" w:rsidRPr="003C17FD" w:rsidRDefault="00B45859" w:rsidP="00B45859">
      <w:pPr>
        <w:shd w:val="clear" w:color="auto" w:fill="FFFFFF"/>
        <w:spacing w:after="0" w:line="240" w:lineRule="auto"/>
        <w:ind w:left="142"/>
        <w:jc w:val="both"/>
        <w:rPr>
          <w:rFonts w:ascii="Tenorite" w:hAnsi="Tenorite" w:cstheme="minorHAnsi"/>
          <w:sz w:val="20"/>
          <w:szCs w:val="20"/>
        </w:rPr>
      </w:pPr>
    </w:p>
    <w:p w14:paraId="5ABC6969" w14:textId="77777777"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Importation,</w:t>
      </w:r>
    </w:p>
    <w:p w14:paraId="43452A59" w14:textId="77777777" w:rsidR="00B45859" w:rsidRDefault="00B45859" w:rsidP="00B45859">
      <w:pPr>
        <w:shd w:val="clear" w:color="auto" w:fill="FFFFFF"/>
        <w:spacing w:after="0" w:line="240" w:lineRule="auto"/>
        <w:ind w:left="142"/>
        <w:jc w:val="both"/>
        <w:rPr>
          <w:rFonts w:ascii="Tenorite" w:eastAsia="Times New Roman" w:hAnsi="Tenorite" w:cstheme="minorHAnsi"/>
          <w:color w:val="636363"/>
          <w:sz w:val="20"/>
          <w:szCs w:val="20"/>
          <w:lang w:eastAsia="fr-FR"/>
        </w:rPr>
      </w:pPr>
      <w:hyperlink r:id="rId50"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2026/826 de la Commission du 14 avril 2026 modifiant le règlement d’exécution (UE) 2019/2072 en ce qui concerne les listes d’organismes nuisibles et les règles relatives à l’introduction et à la circulation sur le territoire de l’Union de végétaux, produits végétaux et autres objets </w:t>
      </w:r>
      <w:r w:rsidRPr="003C17FD">
        <w:rPr>
          <w:rFonts w:ascii="Tenorite" w:eastAsia="Times New Roman" w:hAnsi="Tenorite" w:cstheme="minorHAnsi"/>
          <w:color w:val="636363"/>
          <w:sz w:val="20"/>
          <w:szCs w:val="20"/>
          <w:lang w:eastAsia="fr-FR"/>
        </w:rPr>
        <w:t>(JOUE 15/04/2026)</w:t>
      </w:r>
    </w:p>
    <w:p w14:paraId="3DC7FF8F" w14:textId="77777777" w:rsidR="00B45859" w:rsidRDefault="00B45859" w:rsidP="00B45859">
      <w:pPr>
        <w:shd w:val="clear" w:color="auto" w:fill="FFFFFF"/>
        <w:spacing w:after="0" w:line="240" w:lineRule="auto"/>
        <w:ind w:left="142"/>
        <w:jc w:val="both"/>
        <w:rPr>
          <w:rFonts w:ascii="Tenorite" w:eastAsia="Times New Roman" w:hAnsi="Tenorite" w:cstheme="minorHAnsi"/>
          <w:color w:val="636363"/>
          <w:sz w:val="20"/>
          <w:szCs w:val="20"/>
          <w:lang w:eastAsia="fr-FR"/>
        </w:rPr>
      </w:pPr>
    </w:p>
    <w:p w14:paraId="4D104755" w14:textId="77777777" w:rsidR="00B45859" w:rsidRDefault="00B45859" w:rsidP="00B45859">
      <w:pPr>
        <w:shd w:val="clear" w:color="auto" w:fill="FFFFFF"/>
        <w:spacing w:after="0" w:line="240" w:lineRule="auto"/>
        <w:ind w:left="142"/>
        <w:jc w:val="both"/>
        <w:rPr>
          <w:rFonts w:ascii="Tenorite" w:hAnsi="Tenorite"/>
          <w:sz w:val="20"/>
          <w:szCs w:val="20"/>
        </w:rPr>
      </w:pPr>
      <w:hyperlink r:id="rId51"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2026/888 de la Commission du 20 avril 2026 portant modalités d’application du règlement (UE) no 952/2013 du Parlement européen et du Conseil en ce qui concerne l’ouverture et le mode de gestion de contingents tarifaires de l’Union pour des produits originaires du Mercosur (JOUE 21/04/2026)</w:t>
      </w:r>
    </w:p>
    <w:p w14:paraId="1BB75864" w14:textId="77777777" w:rsidR="005671AA" w:rsidRPr="003C17FD" w:rsidRDefault="005671AA" w:rsidP="00B45859">
      <w:pPr>
        <w:shd w:val="clear" w:color="auto" w:fill="FFFFFF"/>
        <w:spacing w:after="0" w:line="240" w:lineRule="auto"/>
        <w:ind w:left="142"/>
        <w:jc w:val="both"/>
        <w:rPr>
          <w:rFonts w:ascii="Tenorite" w:hAnsi="Tenorite"/>
          <w:sz w:val="20"/>
          <w:szCs w:val="20"/>
        </w:rPr>
      </w:pPr>
    </w:p>
    <w:p w14:paraId="63DF5A7E" w14:textId="1BA160DC"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3A4BE506" w14:textId="59AFBE05" w:rsidR="00767DBA" w:rsidRDefault="005671AA" w:rsidP="002B7CB6">
      <w:pPr>
        <w:spacing w:line="240" w:lineRule="auto"/>
        <w:ind w:left="284" w:hanging="142"/>
        <w:rPr>
          <w:rFonts w:ascii="Tenorite" w:hAnsi="Tenorite"/>
          <w:b/>
        </w:rPr>
      </w:pPr>
      <w:r>
        <w:rPr>
          <w:rFonts w:ascii="Tenorite" w:hAnsi="Tenorite"/>
          <w:b/>
        </w:rPr>
        <w:t>/</w:t>
      </w:r>
    </w:p>
    <w:p w14:paraId="6A58FF82" w14:textId="03C8B2D3"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1FAA7BB8" w14:textId="46EDA6C1" w:rsidR="00767DBA" w:rsidRPr="005F3EA3" w:rsidRDefault="005671AA" w:rsidP="002B7CB6">
      <w:pPr>
        <w:spacing w:line="240" w:lineRule="auto"/>
        <w:ind w:left="284" w:hanging="142"/>
        <w:rPr>
          <w:rFonts w:ascii="Tenorite" w:hAnsi="Tenorite"/>
          <w:b/>
        </w:rPr>
      </w:pPr>
      <w:r>
        <w:rPr>
          <w:rFonts w:ascii="Tenorite" w:hAnsi="Tenorite"/>
          <w:b/>
        </w:rPr>
        <w:t>/</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26231A8C" w:rsidR="001B42BB" w:rsidRDefault="005671AA" w:rsidP="002B7CB6">
      <w:pPr>
        <w:spacing w:line="240" w:lineRule="auto"/>
        <w:ind w:left="284" w:hanging="142"/>
        <w:rPr>
          <w:rFonts w:ascii="Tenorite" w:hAnsi="Tenorite"/>
          <w:b/>
        </w:rPr>
      </w:pPr>
      <w:r>
        <w:rPr>
          <w:rFonts w:ascii="Tenorite" w:hAnsi="Tenorite"/>
          <w:b/>
        </w:rPr>
        <w:t>/</w:t>
      </w:r>
    </w:p>
    <w:p w14:paraId="254D792C" w14:textId="45699711"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55728462" w14:textId="3C5AC1D5" w:rsidR="00767DBA" w:rsidRPr="005F3EA3" w:rsidRDefault="005671AA"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573179E5" w14:textId="77777777" w:rsidR="00920D87" w:rsidRDefault="00920D87" w:rsidP="00920D87">
      <w:pPr>
        <w:shd w:val="clear" w:color="auto" w:fill="FFFFFF"/>
        <w:spacing w:after="0" w:line="240" w:lineRule="auto"/>
        <w:ind w:left="142"/>
        <w:jc w:val="both"/>
        <w:rPr>
          <w:rStyle w:val="Lienhypertexte"/>
          <w:rFonts w:ascii="Tenorite" w:hAnsi="Tenorite"/>
          <w:color w:val="auto"/>
          <w:sz w:val="20"/>
          <w:szCs w:val="20"/>
        </w:rPr>
      </w:pPr>
      <w:hyperlink r:id="rId52" w:history="1">
        <w:r w:rsidRPr="003C17FD">
          <w:rPr>
            <w:rStyle w:val="Lienhypertexte"/>
            <w:rFonts w:ascii="Tenorite" w:hAnsi="Tenorite"/>
            <w:sz w:val="20"/>
            <w:szCs w:val="20"/>
          </w:rPr>
          <w:t>Position</w:t>
        </w:r>
      </w:hyperlink>
      <w:r w:rsidRPr="003C17FD">
        <w:rPr>
          <w:rStyle w:val="Lienhypertexte"/>
          <w:rFonts w:ascii="Tenorite" w:hAnsi="Tenorite"/>
          <w:color w:val="auto"/>
          <w:sz w:val="20"/>
          <w:szCs w:val="20"/>
        </w:rPr>
        <w:t xml:space="preserve"> (UE) no 6/2026 du Conseil en première lecture en vue de l'adoption du Règlement du Parlement européen et du Conseil concernant les végétaux obtenus au moyen de certaines nouvelles techniques génomiques et leurs produits, et modifiant le règlement (UE) 2017/625 (JOUE 30/04/2026)</w:t>
      </w:r>
    </w:p>
    <w:p w14:paraId="6AA307FE" w14:textId="77777777" w:rsidR="002B2AC7" w:rsidRPr="003C17FD" w:rsidRDefault="002B2AC7" w:rsidP="00920D87">
      <w:pPr>
        <w:shd w:val="clear" w:color="auto" w:fill="FFFFFF"/>
        <w:spacing w:after="0" w:line="240" w:lineRule="auto"/>
        <w:ind w:left="142"/>
        <w:jc w:val="both"/>
        <w:rPr>
          <w:rStyle w:val="Lienhypertexte"/>
          <w:rFonts w:ascii="Tenorite" w:hAnsi="Tenorite"/>
          <w:color w:val="auto"/>
          <w:sz w:val="20"/>
          <w:szCs w:val="20"/>
        </w:rPr>
      </w:pPr>
    </w:p>
    <w:p w14:paraId="6DF3241A" w14:textId="77777777" w:rsidR="002B2AC7" w:rsidRPr="003C17FD" w:rsidRDefault="002B2AC7" w:rsidP="002B2AC7">
      <w:pPr>
        <w:shd w:val="clear" w:color="auto" w:fill="FFFFFF"/>
        <w:spacing w:after="0" w:line="240" w:lineRule="auto"/>
        <w:ind w:left="142"/>
        <w:jc w:val="both"/>
        <w:rPr>
          <w:rStyle w:val="Lienhypertexte"/>
          <w:rFonts w:ascii="Tenorite" w:hAnsi="Tenorite"/>
          <w:color w:val="auto"/>
          <w:sz w:val="20"/>
          <w:szCs w:val="20"/>
        </w:rPr>
      </w:pPr>
      <w:hyperlink r:id="rId53" w:history="1">
        <w:r w:rsidRPr="003C17FD">
          <w:rPr>
            <w:rStyle w:val="Lienhypertexte"/>
            <w:rFonts w:ascii="Tenorite" w:hAnsi="Tenorite"/>
            <w:sz w:val="20"/>
            <w:szCs w:val="20"/>
          </w:rPr>
          <w:t>Exposé des motifs</w:t>
        </w:r>
      </w:hyperlink>
      <w:r w:rsidRPr="003C17FD">
        <w:rPr>
          <w:rStyle w:val="Lienhypertexte"/>
          <w:rFonts w:ascii="Tenorite" w:hAnsi="Tenorite"/>
          <w:color w:val="auto"/>
          <w:sz w:val="20"/>
          <w:szCs w:val="20"/>
        </w:rPr>
        <w:t xml:space="preserve"> du </w:t>
      </w:r>
      <w:proofErr w:type="gramStart"/>
      <w:r w:rsidRPr="003C17FD">
        <w:rPr>
          <w:rStyle w:val="Lienhypertexte"/>
          <w:rFonts w:ascii="Tenorite" w:hAnsi="Tenorite"/>
          <w:color w:val="auto"/>
          <w:sz w:val="20"/>
          <w:szCs w:val="20"/>
        </w:rPr>
        <w:t>Conseil:</w:t>
      </w:r>
      <w:proofErr w:type="gramEnd"/>
      <w:r w:rsidRPr="003C17FD">
        <w:rPr>
          <w:rStyle w:val="Lienhypertexte"/>
          <w:rFonts w:ascii="Tenorite" w:hAnsi="Tenorite"/>
          <w:color w:val="auto"/>
          <w:sz w:val="20"/>
          <w:szCs w:val="20"/>
        </w:rPr>
        <w:t xml:space="preserve"> Position (UE) no 6/2026 du Conseil en première lecture en vue de l'adoption du Règlement du Parlement européen et du Conseil concernant les végétaux obtenus au moyen de certaines nouvelles techniques génomiques et leurs produits, et modifiant le règlement (UE) 2017/625 (JOUE 30/04/2026)</w:t>
      </w:r>
    </w:p>
    <w:p w14:paraId="60BDB1D3" w14:textId="77777777" w:rsidR="001B42BB" w:rsidRPr="005F3EA3" w:rsidRDefault="001B42BB" w:rsidP="002B7CB6">
      <w:pPr>
        <w:spacing w:after="0" w:line="240" w:lineRule="auto"/>
        <w:ind w:left="284" w:hanging="142"/>
        <w:rPr>
          <w:rFonts w:ascii="Tenorite" w:hAnsi="Tenorite"/>
          <w:b/>
        </w:rPr>
      </w:pPr>
    </w:p>
    <w:p w14:paraId="685BD29A" w14:textId="48D81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06697625" w14:textId="00CAD137" w:rsidR="001B42BB" w:rsidRDefault="005671A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66D14657"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54E176FF" w14:textId="679FF40F"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52B48859" w14:textId="77777777" w:rsidR="00454D3B" w:rsidRPr="003C17FD" w:rsidRDefault="00454D3B" w:rsidP="00454D3B">
      <w:pPr>
        <w:shd w:val="clear" w:color="auto" w:fill="FFFFFF"/>
        <w:spacing w:after="0" w:line="240" w:lineRule="auto"/>
        <w:ind w:left="142"/>
        <w:jc w:val="both"/>
        <w:rPr>
          <w:rFonts w:ascii="Tenorite" w:hAnsi="Tenorite"/>
          <w:sz w:val="20"/>
          <w:szCs w:val="20"/>
        </w:rPr>
      </w:pPr>
      <w:hyperlink r:id="rId54" w:history="1">
        <w:r w:rsidRPr="003C17FD">
          <w:rPr>
            <w:rStyle w:val="Lienhypertexte"/>
            <w:rFonts w:ascii="Tenorite" w:hAnsi="Tenorite"/>
            <w:sz w:val="20"/>
            <w:szCs w:val="20"/>
          </w:rPr>
          <w:t>Décision</w:t>
        </w:r>
      </w:hyperlink>
      <w:r w:rsidRPr="003C17FD">
        <w:rPr>
          <w:rFonts w:ascii="Tenorite" w:hAnsi="Tenorite"/>
          <w:sz w:val="20"/>
          <w:szCs w:val="20"/>
        </w:rPr>
        <w:t xml:space="preserve"> de la Commission du 15 avril 2026 approuvant, au nom de l’Union européenne, les modifications de l’annexe I, partie A, et de l’annexe II de l’accord entre l’Union européenne et l’Islande relatif à la protection des indications géographiques des produits agricoles et des denrées alimentaires (JOUE 17/04/2026)</w:t>
      </w:r>
    </w:p>
    <w:p w14:paraId="004E32DE" w14:textId="77777777" w:rsidR="005F3EA3" w:rsidRPr="005F3EA3" w:rsidRDefault="005F3EA3" w:rsidP="002B7CB6">
      <w:pPr>
        <w:spacing w:after="0" w:line="240" w:lineRule="auto"/>
        <w:ind w:left="284" w:hanging="142"/>
        <w:rPr>
          <w:rFonts w:ascii="Tenorite" w:hAnsi="Tenorite"/>
          <w:b/>
        </w:rPr>
      </w:pPr>
    </w:p>
    <w:p w14:paraId="415BEA78" w14:textId="29DB12A8"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ALIM</w:t>
      </w:r>
      <w:r w:rsidR="00020E9E">
        <w:rPr>
          <w:rFonts w:ascii="Tenorite" w:hAnsi="Tenorite"/>
          <w:b/>
          <w:color w:val="833C0B" w:themeColor="accent2" w:themeShade="80"/>
          <w:sz w:val="24"/>
        </w:rPr>
        <w:t>E</w:t>
      </w:r>
      <w:r w:rsidR="00767DBA">
        <w:rPr>
          <w:rFonts w:ascii="Tenorite" w:hAnsi="Tenorite"/>
          <w:b/>
          <w:color w:val="833C0B" w:themeColor="accent2" w:themeShade="80"/>
          <w:sz w:val="24"/>
        </w:rPr>
        <w:t xml:space="preserve">NTAIRES </w:t>
      </w:r>
    </w:p>
    <w:p w14:paraId="72ACAB2C" w14:textId="025C5435" w:rsidR="00D025D4" w:rsidRPr="005F3EA3" w:rsidRDefault="005671AA" w:rsidP="005671AA">
      <w:pPr>
        <w:spacing w:after="0" w:line="240" w:lineRule="auto"/>
        <w:ind w:left="284" w:hanging="142"/>
        <w:rPr>
          <w:rFonts w:ascii="Tenorite" w:hAnsi="Tenorite"/>
        </w:rPr>
      </w:pPr>
      <w:r>
        <w:rPr>
          <w:rFonts w:ascii="Tenorite" w:hAnsi="Tenorite"/>
          <w:color w:val="C45911" w:themeColor="accent2" w:themeShade="BF"/>
          <w:sz w:val="20"/>
        </w:rPr>
        <w:t>/</w:t>
      </w:r>
      <w:r w:rsidR="00D025D4" w:rsidRPr="005F3EA3">
        <w:rPr>
          <w:rFonts w:ascii="Tenorite" w:hAnsi="Tenorite"/>
        </w:rPr>
        <w:tab/>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227D4157" w14:textId="2F88B25E"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42576B6C" w14:textId="77777777" w:rsidR="00E464D9" w:rsidRDefault="00E464D9" w:rsidP="00E464D9">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015BF78B" w14:textId="77777777" w:rsidR="007A1A3F" w:rsidRPr="003C17FD" w:rsidRDefault="007A1A3F" w:rsidP="007A1A3F">
      <w:pPr>
        <w:pStyle w:val="Textebrut"/>
        <w:ind w:left="143"/>
        <w:jc w:val="both"/>
        <w:rPr>
          <w:rFonts w:ascii="Tenorite" w:hAnsi="Tenorite"/>
          <w:sz w:val="20"/>
          <w:szCs w:val="20"/>
        </w:rPr>
      </w:pPr>
      <w:hyperlink r:id="rId55" w:history="1">
        <w:r w:rsidRPr="003C17FD">
          <w:rPr>
            <w:rStyle w:val="Lienhypertexte"/>
            <w:rFonts w:ascii="Tenorite" w:hAnsi="Tenorite"/>
            <w:sz w:val="20"/>
            <w:szCs w:val="20"/>
          </w:rPr>
          <w:t>Arrêté</w:t>
        </w:r>
      </w:hyperlink>
      <w:r w:rsidRPr="003C17FD">
        <w:rPr>
          <w:rFonts w:ascii="Tenorite" w:hAnsi="Tenorite"/>
          <w:sz w:val="20"/>
          <w:szCs w:val="20"/>
        </w:rPr>
        <w:t xml:space="preserve"> du 19 mars 2026 portant homologation du cahier des charges du label rouge n° LA 02/02 « brioche » (JOUE 04/04/2026)</w:t>
      </w:r>
    </w:p>
    <w:p w14:paraId="403432CA" w14:textId="77777777" w:rsidR="007A1A3F" w:rsidRPr="003C17FD" w:rsidRDefault="007A1A3F" w:rsidP="007A1A3F">
      <w:pPr>
        <w:pStyle w:val="Textebrut"/>
        <w:ind w:left="143"/>
        <w:jc w:val="both"/>
        <w:rPr>
          <w:rFonts w:ascii="Tenorite" w:hAnsi="Tenorite"/>
          <w:sz w:val="20"/>
          <w:szCs w:val="20"/>
        </w:rPr>
      </w:pPr>
    </w:p>
    <w:p w14:paraId="2D8D3811" w14:textId="77777777" w:rsidR="007A1A3F" w:rsidRPr="003C17FD" w:rsidRDefault="007A1A3F" w:rsidP="007A1A3F">
      <w:pPr>
        <w:shd w:val="clear" w:color="auto" w:fill="FFFFFF"/>
        <w:spacing w:after="0" w:line="240" w:lineRule="auto"/>
        <w:ind w:left="143"/>
        <w:jc w:val="both"/>
        <w:rPr>
          <w:rFonts w:ascii="Tenorite" w:hAnsi="Tenorite"/>
          <w:sz w:val="20"/>
          <w:szCs w:val="20"/>
        </w:rPr>
      </w:pPr>
      <w:hyperlink r:id="rId56" w:history="1">
        <w:r w:rsidRPr="003C17FD">
          <w:rPr>
            <w:rStyle w:val="Lienhypertexte"/>
            <w:rFonts w:ascii="Tenorite" w:hAnsi="Tenorite"/>
            <w:b/>
            <w:bCs/>
            <w:sz w:val="20"/>
            <w:szCs w:val="20"/>
          </w:rPr>
          <w:t>Cahier des charges</w:t>
        </w:r>
      </w:hyperlink>
      <w:r w:rsidRPr="003C17FD">
        <w:rPr>
          <w:rFonts w:ascii="Tenorite" w:hAnsi="Tenorite"/>
          <w:sz w:val="20"/>
          <w:szCs w:val="20"/>
        </w:rPr>
        <w:t> du 23-04-2026 - Cahier des charges du label rouge n° LA 02/02 "Brioche" (DGPE)</w:t>
      </w:r>
    </w:p>
    <w:p w14:paraId="3A4073C8" w14:textId="77777777" w:rsidR="00D025D4" w:rsidRPr="005F3EA3" w:rsidRDefault="00D025D4" w:rsidP="00D025D4">
      <w:pPr>
        <w:ind w:left="426" w:hanging="283"/>
        <w:rPr>
          <w:rFonts w:ascii="Tenorite" w:hAnsi="Tenorite"/>
          <w:b/>
        </w:rPr>
      </w:pPr>
    </w:p>
    <w:p w14:paraId="57B86A9D" w14:textId="2320FAA8"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77FF2622" w14:textId="192120D1" w:rsidR="00E464D9" w:rsidRPr="005F3EA3" w:rsidRDefault="005671AA" w:rsidP="005671AA">
      <w:pPr>
        <w:ind w:left="426" w:hanging="283"/>
        <w:rPr>
          <w:rFonts w:ascii="Tenorite" w:hAnsi="Tenorite"/>
          <w:b/>
        </w:rPr>
      </w:pPr>
      <w:r>
        <w:rPr>
          <w:rFonts w:ascii="Tenorite" w:hAnsi="Tenorite"/>
          <w:color w:val="C45911" w:themeColor="accent2" w:themeShade="BF"/>
          <w:sz w:val="20"/>
          <w:szCs w:val="18"/>
        </w:rPr>
        <w:t>/</w:t>
      </w: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08F43676" w14:textId="77777777" w:rsidR="00D025D4" w:rsidRPr="005F3EA3"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Lait</w:t>
      </w:r>
      <w:r w:rsidR="0012180A" w:rsidRPr="005F3EA3">
        <w:rPr>
          <w:rFonts w:ascii="Tenorite" w:hAnsi="Tenorite"/>
          <w:color w:val="C45911" w:themeColor="accent2" w:themeShade="BF"/>
          <w:sz w:val="20"/>
          <w:szCs w:val="18"/>
        </w:rPr>
        <w:t>, produits laitiers</w:t>
      </w:r>
    </w:p>
    <w:p w14:paraId="5443B137" w14:textId="77777777" w:rsidR="00454D3B" w:rsidRDefault="00454D3B" w:rsidP="00454D3B">
      <w:pPr>
        <w:shd w:val="clear" w:color="auto" w:fill="FFFFFF"/>
        <w:spacing w:after="0" w:line="240" w:lineRule="auto"/>
        <w:ind w:left="143"/>
        <w:jc w:val="both"/>
        <w:rPr>
          <w:rFonts w:ascii="Tenorite" w:hAnsi="Tenorite"/>
          <w:sz w:val="20"/>
          <w:szCs w:val="20"/>
        </w:rPr>
      </w:pPr>
      <w:hyperlink r:id="rId57" w:history="1">
        <w:r w:rsidRPr="003C17FD">
          <w:rPr>
            <w:rStyle w:val="Lienhypertexte"/>
            <w:rFonts w:ascii="Tenorite" w:hAnsi="Tenorite"/>
            <w:sz w:val="20"/>
            <w:szCs w:val="20"/>
          </w:rPr>
          <w:t>Décret</w:t>
        </w:r>
      </w:hyperlink>
      <w:r w:rsidRPr="003C17FD">
        <w:rPr>
          <w:rFonts w:ascii="Tenorite" w:hAnsi="Tenorite"/>
          <w:sz w:val="20"/>
          <w:szCs w:val="20"/>
        </w:rPr>
        <w:t xml:space="preserve"> n° 2026-312 du 24 avril 2026 relatif aux confitures, gelées et marmelades de fruits, à la crème de marrons et autres produits similaires, au miel, aux jus de fruits et autres produits similaires, ainsi qu'aux laits de conserve partiellement ou totalement déshydratés destinés à l'alimentation humaine (JORF 25/04/2026)</w:t>
      </w:r>
    </w:p>
    <w:p w14:paraId="071B0A84" w14:textId="77777777" w:rsidR="00802621" w:rsidRPr="003C17FD" w:rsidRDefault="00802621" w:rsidP="00454D3B">
      <w:pPr>
        <w:shd w:val="clear" w:color="auto" w:fill="FFFFFF"/>
        <w:spacing w:after="0" w:line="240" w:lineRule="auto"/>
        <w:ind w:left="143"/>
        <w:jc w:val="both"/>
        <w:rPr>
          <w:rFonts w:ascii="Tenorite" w:hAnsi="Tenorite"/>
          <w:sz w:val="20"/>
          <w:szCs w:val="20"/>
        </w:rPr>
      </w:pPr>
    </w:p>
    <w:p w14:paraId="1BD9FE19" w14:textId="77777777" w:rsidR="0012180A" w:rsidRDefault="0012180A"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3BBCD02E" w14:textId="77777777" w:rsidR="00235C28" w:rsidRPr="003C17FD" w:rsidRDefault="00235C28" w:rsidP="00235C28">
      <w:pPr>
        <w:shd w:val="clear" w:color="auto" w:fill="FFFFFF"/>
        <w:spacing w:after="0" w:line="240" w:lineRule="auto"/>
        <w:ind w:left="143"/>
        <w:jc w:val="both"/>
        <w:rPr>
          <w:rFonts w:ascii="Tenorite" w:hAnsi="Tenorite"/>
          <w:sz w:val="20"/>
          <w:szCs w:val="20"/>
        </w:rPr>
      </w:pPr>
      <w:hyperlink r:id="rId58" w:history="1">
        <w:r w:rsidRPr="003C17FD">
          <w:rPr>
            <w:rFonts w:ascii="Tenorite" w:eastAsia="Times New Roman" w:hAnsi="Tenorite" w:cs="Times New Roman"/>
            <w:b/>
            <w:bCs/>
            <w:color w:val="000091"/>
            <w:sz w:val="20"/>
            <w:szCs w:val="20"/>
            <w:u w:val="single"/>
            <w:lang w:eastAsia="fr-FR"/>
          </w:rPr>
          <w:t>Règles de régulation d'offre</w:t>
        </w:r>
      </w:hyperlink>
      <w:r w:rsidRPr="003C17FD">
        <w:rPr>
          <w:rFonts w:ascii="Tenorite" w:eastAsia="Times New Roman" w:hAnsi="Tenorite" w:cs="Times New Roman"/>
          <w:color w:val="636363"/>
          <w:sz w:val="20"/>
          <w:szCs w:val="20"/>
          <w:lang w:eastAsia="fr-FR"/>
        </w:rPr>
        <w:t> du 02-04-2026 - Règles de régulation de l'offre de l’appellation d’origine protégée Comté pour la campagne 2026/2027 (DGPE)</w:t>
      </w:r>
    </w:p>
    <w:p w14:paraId="558B3CF1" w14:textId="77777777" w:rsidR="00235C28" w:rsidRPr="003C17FD" w:rsidRDefault="00235C28" w:rsidP="00235C28">
      <w:pPr>
        <w:spacing w:after="0" w:line="240" w:lineRule="auto"/>
        <w:ind w:left="143"/>
        <w:jc w:val="both"/>
        <w:rPr>
          <w:rFonts w:ascii="Tenorite" w:hAnsi="Tenorite"/>
          <w:sz w:val="20"/>
          <w:szCs w:val="20"/>
        </w:rPr>
      </w:pPr>
      <w:hyperlink r:id="rId59" w:history="1">
        <w:r w:rsidRPr="003C17FD">
          <w:rPr>
            <w:rFonts w:ascii="Tenorite" w:eastAsia="Times New Roman" w:hAnsi="Tenorite" w:cs="Times New Roman"/>
            <w:b/>
            <w:bCs/>
            <w:color w:val="000091"/>
            <w:sz w:val="20"/>
            <w:szCs w:val="20"/>
            <w:u w:val="single"/>
            <w:shd w:val="clear" w:color="auto" w:fill="FFFFFF"/>
            <w:lang w:eastAsia="fr-FR"/>
          </w:rPr>
          <w:t>Règles de régulation d'offre</w:t>
        </w:r>
      </w:hyperlink>
      <w:r w:rsidRPr="003C17FD">
        <w:rPr>
          <w:rFonts w:ascii="Tenorite" w:eastAsia="Times New Roman" w:hAnsi="Tenorite" w:cs="Times New Roman"/>
          <w:color w:val="636363"/>
          <w:sz w:val="20"/>
          <w:szCs w:val="20"/>
          <w:shd w:val="clear" w:color="auto" w:fill="FFFFFF"/>
          <w:lang w:eastAsia="fr-FR"/>
        </w:rPr>
        <w:t xml:space="preserve"> du 02-04-2026 - </w:t>
      </w:r>
      <w:r w:rsidRPr="003C17FD">
        <w:rPr>
          <w:rFonts w:ascii="Tenorite" w:eastAsia="Times New Roman" w:hAnsi="Tenorite" w:cs="Times New Roman"/>
          <w:color w:val="636363"/>
          <w:sz w:val="20"/>
          <w:szCs w:val="20"/>
          <w:lang w:eastAsia="fr-FR"/>
        </w:rPr>
        <w:t>Règles de régulation de l'offre de l'appellation d'origine protégée Beaufort pour la campagne 2026-2027 (DGPE)</w:t>
      </w:r>
    </w:p>
    <w:p w14:paraId="59ADC749" w14:textId="77777777" w:rsidR="00235C28" w:rsidRPr="003C17FD" w:rsidRDefault="00235C28" w:rsidP="00235C28">
      <w:pPr>
        <w:pStyle w:val="Textebrut"/>
        <w:ind w:left="143"/>
        <w:jc w:val="both"/>
        <w:rPr>
          <w:rFonts w:ascii="Tenorite" w:hAnsi="Tenorite"/>
          <w:sz w:val="20"/>
          <w:szCs w:val="20"/>
        </w:rPr>
      </w:pPr>
    </w:p>
    <w:p w14:paraId="7AC31E46" w14:textId="77777777" w:rsidR="00235C28" w:rsidRPr="003C17FD" w:rsidRDefault="00235C28" w:rsidP="00235C28">
      <w:pPr>
        <w:spacing w:after="0" w:line="240" w:lineRule="auto"/>
        <w:ind w:left="143"/>
        <w:jc w:val="both"/>
        <w:rPr>
          <w:rFonts w:ascii="Tenorite" w:eastAsia="Times New Roman" w:hAnsi="Tenorite" w:cs="Times New Roman"/>
          <w:color w:val="636363"/>
          <w:sz w:val="20"/>
          <w:szCs w:val="20"/>
          <w:lang w:eastAsia="fr-FR"/>
        </w:rPr>
      </w:pPr>
      <w:hyperlink r:id="rId60" w:history="1">
        <w:r w:rsidRPr="003C17FD">
          <w:rPr>
            <w:rFonts w:ascii="Tenorite" w:eastAsia="Times New Roman" w:hAnsi="Tenorite" w:cs="Times New Roman"/>
            <w:b/>
            <w:bCs/>
            <w:color w:val="000091"/>
            <w:sz w:val="20"/>
            <w:szCs w:val="20"/>
            <w:u w:val="single"/>
            <w:shd w:val="clear" w:color="auto" w:fill="FFFFFF"/>
            <w:lang w:eastAsia="fr-FR"/>
          </w:rPr>
          <w:t>Règles de régulation d'offre</w:t>
        </w:r>
      </w:hyperlink>
      <w:r w:rsidRPr="003C17FD">
        <w:rPr>
          <w:rFonts w:ascii="Tenorite" w:eastAsia="Times New Roman" w:hAnsi="Tenorite" w:cs="Times New Roman"/>
          <w:color w:val="636363"/>
          <w:sz w:val="20"/>
          <w:szCs w:val="20"/>
          <w:shd w:val="clear" w:color="auto" w:fill="FFFFFF"/>
          <w:lang w:eastAsia="fr-FR"/>
        </w:rPr>
        <w:t xml:space="preserve"> du 02-04-2026 - </w:t>
      </w:r>
      <w:r w:rsidRPr="003C17FD">
        <w:rPr>
          <w:rFonts w:ascii="Tenorite" w:eastAsia="Times New Roman" w:hAnsi="Tenorite" w:cs="Times New Roman"/>
          <w:color w:val="636363"/>
          <w:sz w:val="20"/>
          <w:szCs w:val="20"/>
          <w:lang w:eastAsia="fr-FR"/>
        </w:rPr>
        <w:t>Arrêté du 26 mars 2026 portant sur la définition des règles de régulation de l'offre de l'appellation d'origine protégée « Reblochon » pour les campagnes 2026-2027, 2027-2028 et 2028-2029 (DGPE)</w:t>
      </w:r>
    </w:p>
    <w:p w14:paraId="2A6D4CB5" w14:textId="77777777" w:rsidR="00235C28" w:rsidRPr="003C17FD" w:rsidRDefault="00235C28" w:rsidP="00235C28">
      <w:pPr>
        <w:pStyle w:val="Textebrut"/>
        <w:ind w:left="143"/>
        <w:jc w:val="both"/>
        <w:rPr>
          <w:rFonts w:ascii="Tenorite" w:hAnsi="Tenorite"/>
          <w:sz w:val="20"/>
          <w:szCs w:val="20"/>
        </w:rPr>
      </w:pPr>
    </w:p>
    <w:p w14:paraId="3E24772C" w14:textId="77777777" w:rsidR="00235C28" w:rsidRPr="003C17FD" w:rsidRDefault="00235C28" w:rsidP="00235C28">
      <w:pPr>
        <w:pStyle w:val="Textebrut"/>
        <w:ind w:left="143"/>
        <w:jc w:val="both"/>
        <w:rPr>
          <w:rFonts w:ascii="Tenorite" w:hAnsi="Tenorite"/>
          <w:sz w:val="20"/>
          <w:szCs w:val="20"/>
        </w:rPr>
      </w:pPr>
      <w:hyperlink r:id="rId61" w:history="1">
        <w:r w:rsidRPr="003C17FD">
          <w:rPr>
            <w:rStyle w:val="Lienhypertexte"/>
            <w:rFonts w:ascii="Tenorite" w:hAnsi="Tenorite"/>
            <w:sz w:val="20"/>
            <w:szCs w:val="20"/>
          </w:rPr>
          <w:t>Avis</w:t>
        </w:r>
      </w:hyperlink>
      <w:r w:rsidRPr="003C17FD">
        <w:rPr>
          <w:rFonts w:ascii="Tenorite" w:hAnsi="Tenorite"/>
          <w:sz w:val="20"/>
          <w:szCs w:val="20"/>
        </w:rPr>
        <w:t xml:space="preserve"> relatif à l'ouverture d'une procédure nationale d'opposition pour la demande de modification du cahier des charges de l'indication géographique protégée « Crème fraîche fluide d'Alsace » (JORF 22/04/2026)</w:t>
      </w:r>
    </w:p>
    <w:p w14:paraId="17FCAE66" w14:textId="77777777" w:rsidR="00235C28" w:rsidRPr="003C17FD" w:rsidRDefault="00235C28" w:rsidP="00235C28">
      <w:pPr>
        <w:pStyle w:val="Textebrut"/>
        <w:ind w:left="143"/>
        <w:jc w:val="both"/>
        <w:rPr>
          <w:rFonts w:ascii="Tenorite" w:hAnsi="Tenorite"/>
          <w:sz w:val="20"/>
          <w:szCs w:val="20"/>
        </w:rPr>
      </w:pPr>
    </w:p>
    <w:p w14:paraId="53BB499C" w14:textId="77777777" w:rsidR="00235C28" w:rsidRPr="003C17FD" w:rsidRDefault="00235C28" w:rsidP="00235C28">
      <w:pPr>
        <w:pStyle w:val="Textebrut"/>
        <w:ind w:left="143"/>
        <w:jc w:val="both"/>
        <w:rPr>
          <w:rFonts w:ascii="Tenorite" w:hAnsi="Tenorite"/>
          <w:sz w:val="20"/>
          <w:szCs w:val="20"/>
        </w:rPr>
      </w:pPr>
      <w:hyperlink r:id="rId62" w:history="1">
        <w:r w:rsidRPr="003C17FD">
          <w:rPr>
            <w:rStyle w:val="Lienhypertexte"/>
            <w:rFonts w:ascii="Tenorite" w:hAnsi="Tenorite"/>
            <w:sz w:val="20"/>
            <w:szCs w:val="20"/>
          </w:rPr>
          <w:t>Avis</w:t>
        </w:r>
      </w:hyperlink>
      <w:r w:rsidRPr="003C17FD">
        <w:rPr>
          <w:rFonts w:ascii="Tenorite" w:hAnsi="Tenorite"/>
          <w:sz w:val="20"/>
          <w:szCs w:val="20"/>
        </w:rPr>
        <w:t xml:space="preserve"> relatif à l'ouverture d'une procédure nationale d'opposition pour la demande de modification du cahier des charges de l'indication géographique protégée « Gruyère » (JORF 22/04/2026)</w:t>
      </w:r>
    </w:p>
    <w:p w14:paraId="5303B53F" w14:textId="77777777" w:rsidR="00235C28" w:rsidRPr="003C17FD" w:rsidRDefault="00235C28" w:rsidP="00235C28">
      <w:pPr>
        <w:pStyle w:val="Textebrut"/>
        <w:ind w:left="143"/>
        <w:jc w:val="both"/>
        <w:rPr>
          <w:rFonts w:ascii="Tenorite" w:hAnsi="Tenorite"/>
          <w:sz w:val="20"/>
          <w:szCs w:val="20"/>
        </w:rPr>
      </w:pPr>
    </w:p>
    <w:p w14:paraId="504D07FB" w14:textId="77777777" w:rsidR="00235C28" w:rsidRPr="003C17FD" w:rsidRDefault="00235C28" w:rsidP="00235C28">
      <w:pPr>
        <w:shd w:val="clear" w:color="auto" w:fill="FFFFFF"/>
        <w:spacing w:after="0" w:line="240" w:lineRule="auto"/>
        <w:ind w:left="143"/>
        <w:jc w:val="both"/>
        <w:rPr>
          <w:rFonts w:ascii="Tenorite" w:hAnsi="Tenorite"/>
          <w:sz w:val="20"/>
          <w:szCs w:val="20"/>
        </w:rPr>
      </w:pPr>
      <w:hyperlink r:id="rId63" w:history="1">
        <w:r w:rsidRPr="003C17FD">
          <w:rPr>
            <w:rStyle w:val="Lienhypertexte"/>
            <w:rFonts w:ascii="Tenorite" w:hAnsi="Tenorite"/>
            <w:sz w:val="20"/>
            <w:szCs w:val="20"/>
          </w:rPr>
          <w:t>Avis</w:t>
        </w:r>
      </w:hyperlink>
      <w:r w:rsidRPr="003C17FD">
        <w:rPr>
          <w:rFonts w:ascii="Tenorite" w:hAnsi="Tenorite"/>
          <w:sz w:val="20"/>
          <w:szCs w:val="20"/>
        </w:rPr>
        <w:t xml:space="preserve"> relatif à l'ouverture d'une procédure nationale d'opposition pour la demande de modification du cahier des charges label rouge n° LA10/89 « Crème fluide d'Alsace “idéale à fouetter” » (JORF 30/04/2026)</w:t>
      </w:r>
    </w:p>
    <w:p w14:paraId="3637F6B6" w14:textId="77777777" w:rsidR="00235C28" w:rsidRPr="003C17FD" w:rsidRDefault="00235C28" w:rsidP="00235C28">
      <w:pPr>
        <w:pStyle w:val="Textebrut"/>
        <w:ind w:left="143"/>
        <w:jc w:val="both"/>
        <w:rPr>
          <w:rFonts w:ascii="Tenorite" w:hAnsi="Tenorite"/>
          <w:sz w:val="20"/>
          <w:szCs w:val="20"/>
        </w:rPr>
      </w:pPr>
    </w:p>
    <w:p w14:paraId="1C006562" w14:textId="77777777" w:rsidR="00235C28" w:rsidRPr="003C17FD" w:rsidRDefault="00235C28" w:rsidP="00235C28">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4" w:history="1">
        <w:r w:rsidRPr="003C17FD">
          <w:rPr>
            <w:rStyle w:val="Lienhypertexte"/>
            <w:rFonts w:ascii="Tenorite" w:hAnsi="Tenorite"/>
            <w:sz w:val="20"/>
            <w:szCs w:val="20"/>
            <w:lang w:eastAsia="fr-FR"/>
          </w:rPr>
          <w:t>Publication de la communication</w:t>
        </w:r>
      </w:hyperlink>
      <w:r w:rsidRPr="003C17FD">
        <w:rPr>
          <w:rFonts w:ascii="Tenorite" w:hAnsi="Tenorite"/>
          <w:color w:val="636363"/>
          <w:sz w:val="20"/>
          <w:szCs w:val="20"/>
          <w:lang w:eastAsia="fr-FR"/>
        </w:rPr>
        <w:t xml:space="preserve"> d’une modification standard approuvée du cahier des charges d’une indication géographique conformément à l’article 5, paragraphe 4, du règlement délégué (UE) 2025/27 de la Commission</w:t>
      </w:r>
      <w:r w:rsidRPr="003C17FD">
        <w:rPr>
          <w:rFonts w:ascii="Tenorite" w:eastAsia="Times New Roman" w:hAnsi="Tenorite" w:cs="Times New Roman"/>
          <w:color w:val="636363"/>
          <w:sz w:val="20"/>
          <w:szCs w:val="20"/>
          <w:lang w:eastAsia="fr-FR"/>
        </w:rPr>
        <w:t xml:space="preserve"> [bleu du Vercors] (JOUE 16/04/2026)</w:t>
      </w: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33A76140" w14:textId="125A9384" w:rsidR="00D025D4" w:rsidRPr="005F3EA3" w:rsidRDefault="005671AA"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16EF5DD3" w14:textId="77777777" w:rsidR="00D025D4"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Confitures et compotes</w:t>
      </w:r>
    </w:p>
    <w:p w14:paraId="6E5740A5" w14:textId="77777777" w:rsidR="00454D3B" w:rsidRPr="003C17FD" w:rsidRDefault="00454D3B" w:rsidP="00454D3B">
      <w:pPr>
        <w:shd w:val="clear" w:color="auto" w:fill="FFFFFF"/>
        <w:spacing w:after="0" w:line="240" w:lineRule="auto"/>
        <w:ind w:left="143"/>
        <w:jc w:val="both"/>
        <w:rPr>
          <w:rFonts w:ascii="Tenorite" w:hAnsi="Tenorite"/>
          <w:sz w:val="20"/>
          <w:szCs w:val="20"/>
        </w:rPr>
      </w:pPr>
      <w:hyperlink r:id="rId65" w:history="1">
        <w:r w:rsidRPr="003C17FD">
          <w:rPr>
            <w:rStyle w:val="Lienhypertexte"/>
            <w:rFonts w:ascii="Tenorite" w:hAnsi="Tenorite"/>
            <w:sz w:val="20"/>
            <w:szCs w:val="20"/>
          </w:rPr>
          <w:t>Dé</w:t>
        </w:r>
        <w:r w:rsidRPr="003C17FD">
          <w:rPr>
            <w:rStyle w:val="Lienhypertexte"/>
            <w:rFonts w:ascii="Tenorite" w:hAnsi="Tenorite"/>
            <w:sz w:val="20"/>
            <w:szCs w:val="20"/>
          </w:rPr>
          <w:t>c</w:t>
        </w:r>
        <w:r w:rsidRPr="003C17FD">
          <w:rPr>
            <w:rStyle w:val="Lienhypertexte"/>
            <w:rFonts w:ascii="Tenorite" w:hAnsi="Tenorite"/>
            <w:sz w:val="20"/>
            <w:szCs w:val="20"/>
          </w:rPr>
          <w:t>ret</w:t>
        </w:r>
      </w:hyperlink>
      <w:r w:rsidRPr="003C17FD">
        <w:rPr>
          <w:rFonts w:ascii="Tenorite" w:hAnsi="Tenorite"/>
          <w:sz w:val="20"/>
          <w:szCs w:val="20"/>
        </w:rPr>
        <w:t xml:space="preserve"> n° 2026-312 du 24 avril 2026 relatif aux confitures, gelées et marmelades de fruits, à la crème de marrons et autres produits similaires, au miel, aux jus de fruits et autres produits similaires, ainsi qu'aux laits de conserve partiellement ou totalement déshydratés destinés à l'alimentation humaine (JORF 25/04/2026)</w:t>
      </w:r>
    </w:p>
    <w:p w14:paraId="3BB37333" w14:textId="77777777" w:rsidR="00454D3B" w:rsidRPr="005F3EA3" w:rsidRDefault="00454D3B" w:rsidP="00D025D4">
      <w:pPr>
        <w:ind w:left="426" w:hanging="283"/>
        <w:rPr>
          <w:rFonts w:ascii="Tenorite" w:hAnsi="Tenorite"/>
          <w:color w:val="C45911" w:themeColor="accent2" w:themeShade="BF"/>
          <w:sz w:val="20"/>
          <w:szCs w:val="18"/>
        </w:rPr>
      </w:pPr>
    </w:p>
    <w:p w14:paraId="2BF906C4" w14:textId="2457EC6F" w:rsidR="00D025D4" w:rsidRPr="005F3EA3"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Sucres</w:t>
      </w:r>
    </w:p>
    <w:p w14:paraId="509114A8" w14:textId="77777777" w:rsidR="007A1A3F" w:rsidRDefault="007A1A3F" w:rsidP="007A1A3F">
      <w:pPr>
        <w:shd w:val="clear" w:color="auto" w:fill="FFFFFF"/>
        <w:spacing w:after="0" w:line="240" w:lineRule="auto"/>
        <w:ind w:left="143"/>
        <w:jc w:val="both"/>
        <w:rPr>
          <w:rStyle w:val="Lienhypertexte"/>
          <w:rFonts w:ascii="Tenorite" w:hAnsi="Tenorite"/>
          <w:color w:val="auto"/>
          <w:sz w:val="20"/>
          <w:szCs w:val="20"/>
        </w:rPr>
      </w:pPr>
      <w:hyperlink r:id="rId66" w:history="1">
        <w:r w:rsidRPr="003C17FD">
          <w:rPr>
            <w:rStyle w:val="Lienhypertexte"/>
            <w:rFonts w:ascii="Tenorite" w:hAnsi="Tenorite"/>
            <w:sz w:val="20"/>
            <w:szCs w:val="20"/>
          </w:rPr>
          <w:t>Règlement d’exécution</w:t>
        </w:r>
      </w:hyperlink>
      <w:r w:rsidRPr="003C17FD">
        <w:rPr>
          <w:rStyle w:val="Lienhypertexte"/>
          <w:rFonts w:ascii="Tenorite" w:hAnsi="Tenorite"/>
          <w:color w:val="auto"/>
          <w:sz w:val="20"/>
          <w:szCs w:val="20"/>
        </w:rPr>
        <w:t xml:space="preserve"> (UE) 2026/1003 de la Commission du 27 avril 2026 fixant les prix représentatifs, les droits à l’importation et les droits additionnels à l’importation des mélasses dans le secteur du sucre applicables à partir du 1er mai 2026 (JOUE 30/04/2026)</w:t>
      </w:r>
    </w:p>
    <w:p w14:paraId="1C1287BB" w14:textId="77777777" w:rsidR="005671AA" w:rsidRPr="003C17FD" w:rsidRDefault="005671AA" w:rsidP="007A1A3F">
      <w:pPr>
        <w:shd w:val="clear" w:color="auto" w:fill="FFFFFF"/>
        <w:spacing w:after="0" w:line="240" w:lineRule="auto"/>
        <w:ind w:left="143"/>
        <w:jc w:val="both"/>
        <w:rPr>
          <w:rFonts w:ascii="Tenorite" w:hAnsi="Tenorite"/>
          <w:sz w:val="20"/>
          <w:szCs w:val="20"/>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096DF55F" w14:textId="77777777" w:rsidR="00D025D4"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Bovins</w:t>
      </w:r>
      <w:r w:rsidRPr="005F3EA3">
        <w:rPr>
          <w:rFonts w:ascii="Tenorite" w:hAnsi="Tenorite"/>
          <w:color w:val="C45911" w:themeColor="accent2" w:themeShade="BF"/>
          <w:sz w:val="20"/>
          <w:szCs w:val="18"/>
        </w:rPr>
        <w:tab/>
      </w:r>
    </w:p>
    <w:p w14:paraId="63DBA7B8" w14:textId="24482766"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bovins</w:t>
      </w:r>
      <w:proofErr w:type="gramEnd"/>
    </w:p>
    <w:p w14:paraId="0ED7BC0E" w14:textId="77777777" w:rsidR="002B2AC7" w:rsidRDefault="002B2AC7" w:rsidP="002B2AC7">
      <w:pPr>
        <w:pStyle w:val="Titre3"/>
        <w:spacing w:before="0" w:beforeAutospacing="0" w:after="0" w:afterAutospacing="0"/>
        <w:jc w:val="both"/>
        <w:rPr>
          <w:rFonts w:ascii="Tenorite" w:hAnsi="Tenorite" w:cstheme="minorHAnsi"/>
          <w:b w:val="0"/>
          <w:bCs w:val="0"/>
          <w:iCs/>
          <w:color w:val="3C3C3C"/>
          <w:sz w:val="20"/>
          <w:szCs w:val="20"/>
        </w:rPr>
      </w:pPr>
      <w:hyperlink r:id="rId67" w:tgtFrame="_blank" w:history="1">
        <w:r w:rsidRPr="003C17FD">
          <w:rPr>
            <w:rStyle w:val="Lienhypertexte"/>
            <w:rFonts w:ascii="Tenorite" w:hAnsi="Tenorite" w:cstheme="minorHAnsi"/>
            <w:b w:val="0"/>
            <w:bCs w:val="0"/>
            <w:iCs/>
            <w:sz w:val="20"/>
            <w:szCs w:val="20"/>
          </w:rPr>
          <w:t>Avis révisé relatif à « la durée de l'immunité post-vaccinale et la possible interférence immunitaire chez des animaux déjà vaccinés concernant la dermatose nodulaire contagieuse des bovins (DNC) »</w:t>
        </w:r>
      </w:hyperlink>
      <w:r w:rsidRPr="003C17FD">
        <w:rPr>
          <w:rFonts w:ascii="Tenorite" w:hAnsi="Tenorite" w:cstheme="minorHAnsi"/>
          <w:b w:val="0"/>
          <w:bCs w:val="0"/>
          <w:iCs/>
          <w:color w:val="3C3C3C"/>
          <w:sz w:val="20"/>
          <w:szCs w:val="20"/>
        </w:rPr>
        <w:t xml:space="preserve"> - avis signé le 20/03/2026</w:t>
      </w:r>
    </w:p>
    <w:p w14:paraId="4927B25D" w14:textId="77777777" w:rsidR="00802621" w:rsidRPr="003C17FD" w:rsidRDefault="00802621" w:rsidP="002B2AC7">
      <w:pPr>
        <w:pStyle w:val="Titre3"/>
        <w:spacing w:before="0" w:beforeAutospacing="0" w:after="0" w:afterAutospacing="0"/>
        <w:jc w:val="both"/>
        <w:rPr>
          <w:rFonts w:ascii="Tenorite" w:hAnsi="Tenorite" w:cstheme="minorHAnsi"/>
          <w:b w:val="0"/>
          <w:bCs w:val="0"/>
          <w:i/>
          <w:iCs/>
          <w:color w:val="3C3C3C"/>
          <w:sz w:val="20"/>
          <w:szCs w:val="20"/>
        </w:rPr>
      </w:pPr>
    </w:p>
    <w:p w14:paraId="78410A5B" w14:textId="77777777" w:rsidR="009B0204" w:rsidRDefault="009B0204" w:rsidP="009B0204">
      <w:pPr>
        <w:shd w:val="clear" w:color="auto" w:fill="FFFFFF"/>
        <w:spacing w:after="0" w:line="240" w:lineRule="auto"/>
        <w:jc w:val="both"/>
        <w:rPr>
          <w:rFonts w:ascii="Tenorite" w:eastAsia="Times New Roman" w:hAnsi="Tenorite" w:cs="Times New Roman"/>
          <w:color w:val="636363"/>
          <w:sz w:val="20"/>
          <w:szCs w:val="20"/>
          <w:lang w:eastAsia="fr-FR"/>
        </w:rPr>
      </w:pPr>
      <w:hyperlink r:id="rId68" w:history="1">
        <w:r w:rsidRPr="003C17FD">
          <w:rPr>
            <w:rStyle w:val="Lienhypertexte"/>
            <w:rFonts w:ascii="Tenorite" w:eastAsia="Times New Roman" w:hAnsi="Tenorite" w:cs="Times New Roman"/>
            <w:sz w:val="20"/>
            <w:szCs w:val="20"/>
            <w:lang w:eastAsia="fr-FR"/>
          </w:rPr>
          <w:t>Décision d’exécution</w:t>
        </w:r>
      </w:hyperlink>
      <w:r w:rsidRPr="003C17FD">
        <w:rPr>
          <w:rFonts w:ascii="Tenorite" w:eastAsia="Times New Roman" w:hAnsi="Tenorite" w:cs="Times New Roman"/>
          <w:color w:val="636363"/>
          <w:sz w:val="20"/>
          <w:szCs w:val="20"/>
          <w:lang w:eastAsia="fr-FR"/>
        </w:rPr>
        <w:t xml:space="preserve"> (UE) 2026/852 de la Commission du 10 avril 2026 modifiant l’annexe II de la décision d’exécution (UE) 2025/2248 concernant certaines mesures d’urgence relatives à l’infection par le virus de la dermatose nodulaire contagieuse en Espagne (JOUE 15/04/2026)</w:t>
      </w:r>
    </w:p>
    <w:p w14:paraId="7CD71570" w14:textId="77777777" w:rsidR="00802621" w:rsidRPr="003C17FD" w:rsidRDefault="00802621" w:rsidP="009B0204">
      <w:pPr>
        <w:shd w:val="clear" w:color="auto" w:fill="FFFFFF"/>
        <w:spacing w:after="0" w:line="240" w:lineRule="auto"/>
        <w:jc w:val="both"/>
        <w:rPr>
          <w:rFonts w:ascii="Tenorite" w:eastAsia="Times New Roman" w:hAnsi="Tenorite" w:cs="Times New Roman"/>
          <w:color w:val="636363"/>
          <w:sz w:val="20"/>
          <w:szCs w:val="20"/>
          <w:lang w:eastAsia="fr-FR"/>
        </w:rPr>
      </w:pPr>
    </w:p>
    <w:p w14:paraId="551FC687" w14:textId="77777777" w:rsidR="009B0204" w:rsidRPr="003C17FD" w:rsidRDefault="009B0204" w:rsidP="009B0204">
      <w:pPr>
        <w:shd w:val="clear" w:color="auto" w:fill="FFFFFF"/>
        <w:spacing w:after="0" w:line="240" w:lineRule="auto"/>
        <w:jc w:val="both"/>
        <w:rPr>
          <w:rFonts w:ascii="Tenorite" w:hAnsi="Tenorite"/>
          <w:sz w:val="20"/>
          <w:szCs w:val="20"/>
        </w:rPr>
      </w:pPr>
      <w:hyperlink r:id="rId69" w:history="1">
        <w:r w:rsidRPr="003C17FD">
          <w:rPr>
            <w:rStyle w:val="Lienhypertexte"/>
            <w:rFonts w:ascii="Tenorite" w:hAnsi="Tenorite"/>
            <w:sz w:val="20"/>
            <w:szCs w:val="20"/>
          </w:rPr>
          <w:t>Décision d’exécution</w:t>
        </w:r>
      </w:hyperlink>
      <w:r w:rsidRPr="003C17FD">
        <w:rPr>
          <w:rFonts w:ascii="Tenorite" w:hAnsi="Tenorite"/>
          <w:sz w:val="20"/>
          <w:szCs w:val="20"/>
        </w:rPr>
        <w:t xml:space="preserve"> (UE) 2026/922 de la Commission du 24 avril 2026 modifiant les annexes de la décision d’exécution (UE) 2025/1582 concernant certaines mesures d’urgence relatives à l’infection par le virus de la dermatose nodulaire contagieuse en Italie (JOUE 29/04/2026)</w:t>
      </w:r>
    </w:p>
    <w:p w14:paraId="3F1007AE" w14:textId="77777777" w:rsidR="009B0204" w:rsidRPr="003C17FD" w:rsidRDefault="009B0204" w:rsidP="009B0204">
      <w:pPr>
        <w:shd w:val="clear" w:color="auto" w:fill="FFFFFF"/>
        <w:spacing w:after="0" w:line="240" w:lineRule="auto"/>
        <w:jc w:val="both"/>
        <w:rPr>
          <w:rFonts w:ascii="Tenorite" w:hAnsi="Tenorite"/>
          <w:sz w:val="20"/>
          <w:szCs w:val="20"/>
        </w:rPr>
      </w:pPr>
    </w:p>
    <w:p w14:paraId="6503617F" w14:textId="77777777" w:rsidR="009B0204" w:rsidRPr="003C17FD" w:rsidRDefault="009B0204" w:rsidP="009B0204">
      <w:pPr>
        <w:shd w:val="clear" w:color="auto" w:fill="FFFFFF"/>
        <w:spacing w:after="0" w:line="240" w:lineRule="auto"/>
        <w:jc w:val="both"/>
        <w:rPr>
          <w:rFonts w:ascii="Tenorite" w:hAnsi="Tenorite"/>
          <w:sz w:val="20"/>
          <w:szCs w:val="20"/>
        </w:rPr>
      </w:pPr>
      <w:hyperlink r:id="rId70" w:history="1">
        <w:r w:rsidRPr="003C17FD">
          <w:rPr>
            <w:rStyle w:val="Lienhypertexte"/>
            <w:rFonts w:ascii="Tenorite" w:hAnsi="Tenorite"/>
            <w:sz w:val="20"/>
            <w:szCs w:val="20"/>
          </w:rPr>
          <w:t>Décision d’exécution</w:t>
        </w:r>
      </w:hyperlink>
      <w:r w:rsidRPr="003C17FD">
        <w:rPr>
          <w:rFonts w:ascii="Tenorite" w:hAnsi="Tenorite"/>
          <w:sz w:val="20"/>
          <w:szCs w:val="20"/>
        </w:rPr>
        <w:t xml:space="preserve"> (UE) 2026/924 de la Commission du 24 avril 2026 modifiant l’annexe II de la décision d’exécution (UE) 2025/2248 concernant certaines mesures d’urgence relatives à l’infection par le virus de la dermatose nodulaire contagieuse en Espagne (JOUE 29/04/2026)</w:t>
      </w:r>
    </w:p>
    <w:p w14:paraId="4DC02352" w14:textId="77777777" w:rsidR="009B0204" w:rsidRPr="003C17FD" w:rsidRDefault="009B0204" w:rsidP="009B0204">
      <w:pPr>
        <w:shd w:val="clear" w:color="auto" w:fill="FFFFFF"/>
        <w:spacing w:after="0" w:line="240" w:lineRule="auto"/>
        <w:jc w:val="both"/>
        <w:rPr>
          <w:rFonts w:ascii="Tenorite" w:hAnsi="Tenorite"/>
          <w:sz w:val="20"/>
          <w:szCs w:val="20"/>
        </w:rPr>
      </w:pPr>
    </w:p>
    <w:p w14:paraId="792955C3" w14:textId="2BF02485" w:rsidR="00E464D9" w:rsidRDefault="00E464D9" w:rsidP="00E464D9">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Ovins</w:t>
      </w:r>
      <w:r>
        <w:rPr>
          <w:rFonts w:ascii="Tenorite" w:hAnsi="Tenorite"/>
          <w:color w:val="C45911" w:themeColor="accent2" w:themeShade="BF"/>
          <w:sz w:val="20"/>
          <w:szCs w:val="18"/>
        </w:rPr>
        <w:t>, caprins</w:t>
      </w:r>
    </w:p>
    <w:p w14:paraId="634E89F8" w14:textId="453596A9"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ovins</w:t>
      </w:r>
      <w:proofErr w:type="gramEnd"/>
      <w:r>
        <w:rPr>
          <w:rFonts w:ascii="Tenorite" w:eastAsia="Times New Roman" w:hAnsi="Tenorite" w:cs="Times New Roman"/>
          <w:b/>
          <w:bCs/>
          <w:i/>
          <w:iCs/>
          <w:sz w:val="20"/>
          <w:szCs w:val="20"/>
          <w:lang w:eastAsia="fr-FR"/>
        </w:rPr>
        <w:t> /caprins</w:t>
      </w:r>
    </w:p>
    <w:p w14:paraId="00DA53A4" w14:textId="77777777" w:rsidR="002B2AC7" w:rsidRDefault="002B2AC7" w:rsidP="002B2AC7">
      <w:pPr>
        <w:shd w:val="clear" w:color="auto" w:fill="FFFFFF"/>
        <w:spacing w:after="0" w:line="240" w:lineRule="auto"/>
        <w:jc w:val="both"/>
        <w:rPr>
          <w:rFonts w:ascii="Tenorite" w:eastAsia="Times New Roman" w:hAnsi="Tenorite" w:cs="Times New Roman"/>
          <w:color w:val="636363"/>
          <w:sz w:val="20"/>
          <w:szCs w:val="20"/>
          <w:lang w:eastAsia="fr-FR"/>
        </w:rPr>
      </w:pPr>
      <w:hyperlink r:id="rId71" w:history="1">
        <w:r w:rsidRPr="003C17FD">
          <w:rPr>
            <w:rStyle w:val="Lienhypertexte"/>
            <w:rFonts w:ascii="Tenorite" w:hAnsi="Tenorite"/>
            <w:sz w:val="20"/>
            <w:szCs w:val="20"/>
            <w:lang w:eastAsia="fr-FR"/>
          </w:rPr>
          <w:t>Règlement d’exécution</w:t>
        </w:r>
      </w:hyperlink>
      <w:r w:rsidRPr="003C17FD">
        <w:rPr>
          <w:rFonts w:ascii="Tenorite" w:hAnsi="Tenorite"/>
          <w:color w:val="636363"/>
          <w:sz w:val="20"/>
          <w:szCs w:val="20"/>
          <w:lang w:eastAsia="fr-FR"/>
        </w:rPr>
        <w:t xml:space="preserve"> (UE) 2026/766 de la Commission du 8 avril 2026 modifiant et rectifiant le règlement d’exécution (UE) 2021/620 en ce qui concerne, respectivement, le statut indemne d’infection à </w:t>
      </w:r>
      <w:proofErr w:type="spellStart"/>
      <w:r w:rsidRPr="003C17FD">
        <w:rPr>
          <w:rFonts w:ascii="Tenorite" w:hAnsi="Tenorite"/>
          <w:color w:val="636363"/>
          <w:sz w:val="20"/>
          <w:szCs w:val="20"/>
          <w:lang w:eastAsia="fr-FR"/>
        </w:rPr>
        <w:t>Echinococcus</w:t>
      </w:r>
      <w:proofErr w:type="spellEnd"/>
      <w:r w:rsidRPr="003C17FD">
        <w:rPr>
          <w:rFonts w:ascii="Tenorite" w:hAnsi="Tenorite"/>
          <w:color w:val="636363"/>
          <w:sz w:val="20"/>
          <w:szCs w:val="20"/>
          <w:lang w:eastAsia="fr-FR"/>
        </w:rPr>
        <w:t xml:space="preserve"> </w:t>
      </w:r>
      <w:proofErr w:type="spellStart"/>
      <w:r w:rsidRPr="003C17FD">
        <w:rPr>
          <w:rFonts w:ascii="Tenorite" w:hAnsi="Tenorite"/>
          <w:color w:val="636363"/>
          <w:sz w:val="20"/>
          <w:szCs w:val="20"/>
          <w:lang w:eastAsia="fr-FR"/>
        </w:rPr>
        <w:t>multilocularis</w:t>
      </w:r>
      <w:proofErr w:type="spellEnd"/>
      <w:r w:rsidRPr="003C17FD">
        <w:rPr>
          <w:rFonts w:ascii="Tenorite" w:hAnsi="Tenorite"/>
          <w:color w:val="636363"/>
          <w:sz w:val="20"/>
          <w:szCs w:val="20"/>
          <w:lang w:eastAsia="fr-FR"/>
        </w:rPr>
        <w:t xml:space="preserve"> et indemne d’infection par le virus de la fièvre catarrhale ovine, et abrogeant le règlement d’exécution (UE) 2018/878</w:t>
      </w:r>
      <w:r w:rsidRPr="003C17FD">
        <w:rPr>
          <w:rFonts w:ascii="Tenorite" w:eastAsia="Times New Roman" w:hAnsi="Tenorite" w:cs="Times New Roman"/>
          <w:color w:val="636363"/>
          <w:sz w:val="20"/>
          <w:szCs w:val="20"/>
          <w:lang w:eastAsia="fr-FR"/>
        </w:rPr>
        <w:t xml:space="preserve"> (JOUE 16/04/2026)</w:t>
      </w:r>
    </w:p>
    <w:p w14:paraId="58C99BC0" w14:textId="77777777" w:rsidR="00802621" w:rsidRPr="003C17FD" w:rsidRDefault="00802621" w:rsidP="002B2AC7">
      <w:pPr>
        <w:shd w:val="clear" w:color="auto" w:fill="FFFFFF"/>
        <w:spacing w:after="0" w:line="240" w:lineRule="auto"/>
        <w:jc w:val="both"/>
        <w:rPr>
          <w:rFonts w:ascii="Tenorite" w:eastAsia="Times New Roman" w:hAnsi="Tenorite" w:cs="Times New Roman"/>
          <w:color w:val="636363"/>
          <w:sz w:val="20"/>
          <w:szCs w:val="20"/>
          <w:lang w:eastAsia="fr-FR"/>
        </w:rPr>
      </w:pPr>
    </w:p>
    <w:p w14:paraId="592BB55E" w14:textId="77777777" w:rsidR="009B0204" w:rsidRDefault="009B0204" w:rsidP="009B0204">
      <w:pPr>
        <w:shd w:val="clear" w:color="auto" w:fill="FFFFFF"/>
        <w:spacing w:after="0" w:line="240" w:lineRule="auto"/>
        <w:jc w:val="both"/>
        <w:rPr>
          <w:rFonts w:ascii="Tenorite" w:hAnsi="Tenorite"/>
          <w:sz w:val="20"/>
          <w:szCs w:val="20"/>
        </w:rPr>
      </w:pPr>
      <w:hyperlink r:id="rId72" w:history="1">
        <w:r w:rsidRPr="003C17FD">
          <w:rPr>
            <w:rStyle w:val="Lienhypertexte"/>
            <w:rFonts w:ascii="Tenorite" w:hAnsi="Tenorite"/>
            <w:sz w:val="20"/>
            <w:szCs w:val="20"/>
          </w:rPr>
          <w:t>Décision d’exécution</w:t>
        </w:r>
      </w:hyperlink>
      <w:r w:rsidRPr="003C17FD">
        <w:rPr>
          <w:rFonts w:ascii="Tenorite" w:hAnsi="Tenorite"/>
          <w:sz w:val="20"/>
          <w:szCs w:val="20"/>
        </w:rPr>
        <w:t xml:space="preserve"> (UE) 2026/961 de la Commission du 24 avril 2026 modifiant la décision d’exécution (UE) 2024/2207 concernant certaines mesures d’urgence relatives à la clavelée et à la variole caprine en Grèce (JOUE 29/04/2026)</w:t>
      </w:r>
    </w:p>
    <w:p w14:paraId="5E27D3E4" w14:textId="77777777" w:rsidR="00802621" w:rsidRPr="003C17FD" w:rsidRDefault="00802621" w:rsidP="009B0204">
      <w:pPr>
        <w:shd w:val="clear" w:color="auto" w:fill="FFFFFF"/>
        <w:spacing w:after="0" w:line="240" w:lineRule="auto"/>
        <w:jc w:val="both"/>
        <w:rPr>
          <w:rFonts w:ascii="Tenorite" w:hAnsi="Tenorite"/>
          <w:sz w:val="20"/>
          <w:szCs w:val="20"/>
        </w:rPr>
      </w:pPr>
    </w:p>
    <w:p w14:paraId="4112A7DE" w14:textId="77777777" w:rsidR="009B0204" w:rsidRPr="003C17FD" w:rsidRDefault="009B0204" w:rsidP="009B0204">
      <w:pPr>
        <w:shd w:val="clear" w:color="auto" w:fill="FFFFFF"/>
        <w:spacing w:after="0" w:line="240" w:lineRule="auto"/>
        <w:jc w:val="both"/>
        <w:rPr>
          <w:rFonts w:ascii="Tenorite" w:eastAsia="Times New Roman" w:hAnsi="Tenorite" w:cs="Times New Roman"/>
          <w:color w:val="636363"/>
          <w:sz w:val="20"/>
          <w:szCs w:val="20"/>
          <w:lang w:eastAsia="fr-FR"/>
        </w:rPr>
      </w:pPr>
      <w:hyperlink r:id="rId73" w:history="1">
        <w:r w:rsidRPr="003C17FD">
          <w:rPr>
            <w:rStyle w:val="Lienhypertexte"/>
            <w:rFonts w:ascii="Tenorite" w:eastAsia="Times New Roman" w:hAnsi="Tenorite" w:cs="Times New Roman"/>
            <w:sz w:val="20"/>
            <w:szCs w:val="20"/>
            <w:lang w:eastAsia="fr-FR"/>
          </w:rPr>
          <w:t>Décision d’exécution</w:t>
        </w:r>
      </w:hyperlink>
      <w:r w:rsidRPr="003C17FD">
        <w:rPr>
          <w:rFonts w:ascii="Tenorite" w:eastAsia="Times New Roman" w:hAnsi="Tenorite" w:cs="Times New Roman"/>
          <w:color w:val="636363"/>
          <w:sz w:val="20"/>
          <w:szCs w:val="20"/>
          <w:lang w:eastAsia="fr-FR"/>
        </w:rPr>
        <w:t xml:space="preserve"> (UE) 2026/838 de la Commission du 8 avril 2026 modifiant la décision d’exécution (UE) 2024/2207 concernant certaines mesures d’urgence relatives à la clavelée et à la variole caprine en Grèce (JOUE 15/04/2026)</w:t>
      </w:r>
    </w:p>
    <w:p w14:paraId="78B99D9A" w14:textId="77777777" w:rsidR="005671AA" w:rsidRDefault="005671AA" w:rsidP="00E464D9">
      <w:pPr>
        <w:ind w:left="426" w:hanging="283"/>
        <w:rPr>
          <w:rFonts w:ascii="Tenorite" w:hAnsi="Tenorite"/>
          <w:color w:val="C45911" w:themeColor="accent2" w:themeShade="BF"/>
          <w:sz w:val="20"/>
          <w:szCs w:val="18"/>
        </w:rPr>
      </w:pPr>
    </w:p>
    <w:p w14:paraId="7CBF6E8B" w14:textId="0DEDD965" w:rsidR="00E464D9" w:rsidRDefault="00E464D9" w:rsidP="00E464D9">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Volailles </w:t>
      </w:r>
    </w:p>
    <w:p w14:paraId="3DC620FD" w14:textId="68E3C34E"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volailles</w:t>
      </w:r>
    </w:p>
    <w:p w14:paraId="42CA0D0C" w14:textId="77777777" w:rsidR="002B2AC7" w:rsidRDefault="002B2AC7" w:rsidP="002B2AC7">
      <w:pPr>
        <w:shd w:val="clear" w:color="auto" w:fill="FFFFFF"/>
        <w:spacing w:after="0" w:line="240" w:lineRule="auto"/>
        <w:jc w:val="both"/>
        <w:rPr>
          <w:rFonts w:ascii="Tenorite" w:hAnsi="Tenorite"/>
          <w:sz w:val="20"/>
          <w:szCs w:val="20"/>
        </w:rPr>
      </w:pPr>
      <w:r w:rsidRPr="003C17FD">
        <w:rPr>
          <w:rFonts w:ascii="Tenorite" w:hAnsi="Tenorite"/>
          <w:b/>
          <w:bCs/>
          <w:sz w:val="20"/>
          <w:szCs w:val="20"/>
        </w:rPr>
        <w:t>Instruction technique </w:t>
      </w:r>
      <w:hyperlink r:id="rId74" w:history="1">
        <w:r w:rsidRPr="003C17FD">
          <w:rPr>
            <w:rStyle w:val="Lienhypertexte"/>
            <w:rFonts w:ascii="Tenorite" w:hAnsi="Tenorite"/>
            <w:sz w:val="20"/>
            <w:szCs w:val="20"/>
          </w:rPr>
          <w:t>DGAL/SDSBEA/2026-196</w:t>
        </w:r>
      </w:hyperlink>
      <w:r w:rsidRPr="003C17FD">
        <w:rPr>
          <w:rFonts w:ascii="Tenorite" w:hAnsi="Tenorite"/>
          <w:sz w:val="20"/>
          <w:szCs w:val="20"/>
        </w:rPr>
        <w:t xml:space="preserve"> du 09-04-2026  - Mise en œuvre de l’arrêté du 19 février 2026 modifiant l’arrêté du 27 février 2023 relatif à la lutte contre les infections à Salmonella dans les troupeaux des espèces Gallus </w:t>
      </w:r>
      <w:proofErr w:type="spellStart"/>
      <w:r w:rsidRPr="003C17FD">
        <w:rPr>
          <w:rFonts w:ascii="Tenorite" w:hAnsi="Tenorite"/>
          <w:sz w:val="20"/>
          <w:szCs w:val="20"/>
        </w:rPr>
        <w:t>gallus</w:t>
      </w:r>
      <w:proofErr w:type="spellEnd"/>
      <w:r w:rsidRPr="003C17FD">
        <w:rPr>
          <w:rFonts w:ascii="Tenorite" w:hAnsi="Tenorite"/>
          <w:sz w:val="20"/>
          <w:szCs w:val="20"/>
        </w:rPr>
        <w:t xml:space="preserve"> en filière œufs de consommation et dans les troupeaux de reproducteurs de l’espèce Gallus </w:t>
      </w:r>
      <w:proofErr w:type="spellStart"/>
      <w:r w:rsidRPr="003C17FD">
        <w:rPr>
          <w:rFonts w:ascii="Tenorite" w:hAnsi="Tenorite"/>
          <w:sz w:val="20"/>
          <w:szCs w:val="20"/>
        </w:rPr>
        <w:t>gallus</w:t>
      </w:r>
      <w:proofErr w:type="spellEnd"/>
      <w:r w:rsidRPr="003C17FD">
        <w:rPr>
          <w:rFonts w:ascii="Tenorite" w:hAnsi="Tenorite"/>
          <w:sz w:val="20"/>
          <w:szCs w:val="20"/>
        </w:rPr>
        <w:t xml:space="preserve"> ou </w:t>
      </w:r>
      <w:proofErr w:type="spellStart"/>
      <w:r w:rsidRPr="003C17FD">
        <w:rPr>
          <w:rFonts w:ascii="Tenorite" w:hAnsi="Tenorite"/>
          <w:sz w:val="20"/>
          <w:szCs w:val="20"/>
        </w:rPr>
        <w:t>Meleagris</w:t>
      </w:r>
      <w:proofErr w:type="spellEnd"/>
      <w:r w:rsidRPr="003C17FD">
        <w:rPr>
          <w:rFonts w:ascii="Tenorite" w:hAnsi="Tenorite"/>
          <w:sz w:val="20"/>
          <w:szCs w:val="20"/>
        </w:rPr>
        <w:t xml:space="preserve"> </w:t>
      </w:r>
      <w:proofErr w:type="spellStart"/>
      <w:r w:rsidRPr="003C17FD">
        <w:rPr>
          <w:rFonts w:ascii="Tenorite" w:hAnsi="Tenorite"/>
          <w:sz w:val="20"/>
          <w:szCs w:val="20"/>
        </w:rPr>
        <w:t>gallopavo</w:t>
      </w:r>
      <w:proofErr w:type="spellEnd"/>
      <w:r w:rsidRPr="003C17FD">
        <w:rPr>
          <w:rFonts w:ascii="Tenorite" w:hAnsi="Tenorite"/>
          <w:sz w:val="20"/>
          <w:szCs w:val="20"/>
        </w:rPr>
        <w:t xml:space="preserve"> et de l’arrêté du 10 mars 2026 modifiant l’arrêté du 3 mai 2022 listant les maladies animales réglementées d’intérêt national en application de l’article L221-1 du code rural et de la pêche maritime (DGAL)</w:t>
      </w:r>
    </w:p>
    <w:p w14:paraId="38685F13" w14:textId="77777777" w:rsidR="00802621" w:rsidRPr="003C17FD" w:rsidRDefault="00802621" w:rsidP="002B2AC7">
      <w:pPr>
        <w:shd w:val="clear" w:color="auto" w:fill="FFFFFF"/>
        <w:spacing w:after="0" w:line="240" w:lineRule="auto"/>
        <w:jc w:val="both"/>
        <w:rPr>
          <w:rFonts w:ascii="Tenorite" w:hAnsi="Tenorite"/>
          <w:sz w:val="20"/>
          <w:szCs w:val="20"/>
        </w:rPr>
      </w:pPr>
    </w:p>
    <w:p w14:paraId="354D82E6" w14:textId="77777777" w:rsidR="002B2AC7" w:rsidRPr="003C17FD" w:rsidRDefault="002B2AC7" w:rsidP="002B2AC7">
      <w:pPr>
        <w:shd w:val="clear" w:color="auto" w:fill="FFFFFF"/>
        <w:spacing w:after="0" w:line="240" w:lineRule="auto"/>
        <w:jc w:val="both"/>
        <w:rPr>
          <w:rFonts w:ascii="Tenorite" w:hAnsi="Tenorite"/>
          <w:sz w:val="20"/>
          <w:szCs w:val="20"/>
        </w:rPr>
      </w:pPr>
      <w:hyperlink r:id="rId75" w:history="1">
        <w:r w:rsidRPr="003C17FD">
          <w:rPr>
            <w:rStyle w:val="Lienhypertexte"/>
            <w:rFonts w:ascii="Tenorite" w:hAnsi="Tenorite"/>
            <w:b/>
            <w:bCs/>
            <w:sz w:val="20"/>
            <w:szCs w:val="20"/>
          </w:rPr>
          <w:t>Rectificatif</w:t>
        </w:r>
      </w:hyperlink>
      <w:r w:rsidRPr="003C17FD">
        <w:rPr>
          <w:rFonts w:ascii="Tenorite" w:hAnsi="Tenorite"/>
          <w:sz w:val="20"/>
          <w:szCs w:val="20"/>
        </w:rPr>
        <w:t> du 20-04-2026 -Rectification de l'instruction technique DGAL/SDSBEA/2025-527 - « Influenza aviaire – Mesures applicables à la suite d'une suspicion et de la confirmation d’un foyer IAHP dans un établissement » (DGAL)</w:t>
      </w:r>
    </w:p>
    <w:p w14:paraId="79A37117" w14:textId="77777777" w:rsidR="002B2AC7" w:rsidRPr="003C17FD" w:rsidRDefault="002B2AC7" w:rsidP="002B2AC7">
      <w:pPr>
        <w:shd w:val="clear" w:color="auto" w:fill="FFFFFF"/>
        <w:spacing w:after="0" w:line="240" w:lineRule="auto"/>
        <w:jc w:val="both"/>
        <w:rPr>
          <w:rFonts w:ascii="Tenorite" w:hAnsi="Tenorite"/>
          <w:sz w:val="20"/>
          <w:szCs w:val="20"/>
        </w:rPr>
      </w:pPr>
    </w:p>
    <w:p w14:paraId="0E3680C3" w14:textId="77777777" w:rsidR="002B2AC7" w:rsidRDefault="002B2AC7" w:rsidP="002B2AC7">
      <w:pPr>
        <w:pStyle w:val="Textebrut"/>
        <w:jc w:val="both"/>
        <w:rPr>
          <w:rFonts w:ascii="Tenorite" w:hAnsi="Tenorite"/>
          <w:sz w:val="20"/>
          <w:szCs w:val="20"/>
        </w:rPr>
      </w:pPr>
      <w:hyperlink r:id="rId76" w:history="1">
        <w:r w:rsidRPr="003C17FD">
          <w:rPr>
            <w:rStyle w:val="Lienhypertexte"/>
            <w:rFonts w:ascii="Tenorite" w:hAnsi="Tenorite"/>
            <w:sz w:val="20"/>
            <w:szCs w:val="20"/>
          </w:rPr>
          <w:t>Arrêté</w:t>
        </w:r>
      </w:hyperlink>
      <w:r w:rsidRPr="003C17FD">
        <w:rPr>
          <w:rFonts w:ascii="Tenorite" w:hAnsi="Tenorite"/>
          <w:sz w:val="20"/>
          <w:szCs w:val="20"/>
        </w:rPr>
        <w:t xml:space="preserve"> du 21 avril 2026 qualifiant le niveau de risque en matière d'influenza aviaire hautement pathogène 2026 (JORF 26/04/2026)</w:t>
      </w:r>
    </w:p>
    <w:p w14:paraId="7EEE19B7" w14:textId="77777777" w:rsidR="00802621" w:rsidRPr="003C17FD" w:rsidRDefault="00802621" w:rsidP="002B2AC7">
      <w:pPr>
        <w:pStyle w:val="Textebrut"/>
        <w:jc w:val="both"/>
        <w:rPr>
          <w:rFonts w:ascii="Tenorite" w:hAnsi="Tenorite"/>
          <w:sz w:val="20"/>
          <w:szCs w:val="20"/>
        </w:rPr>
      </w:pPr>
    </w:p>
    <w:p w14:paraId="1A9CD1DA" w14:textId="77777777" w:rsidR="002B2AC7" w:rsidRDefault="002B2AC7" w:rsidP="002B2AC7">
      <w:pPr>
        <w:shd w:val="clear" w:color="auto" w:fill="FFFFFF"/>
        <w:spacing w:after="0" w:line="240" w:lineRule="auto"/>
        <w:jc w:val="both"/>
        <w:rPr>
          <w:rFonts w:ascii="Tenorite" w:eastAsia="Times New Roman" w:hAnsi="Tenorite" w:cs="Times New Roman"/>
          <w:color w:val="636363"/>
          <w:sz w:val="20"/>
          <w:szCs w:val="20"/>
          <w:lang w:eastAsia="fr-FR"/>
        </w:rPr>
      </w:pPr>
      <w:hyperlink r:id="rId77" w:history="1">
        <w:r w:rsidRPr="003C17FD">
          <w:rPr>
            <w:rStyle w:val="Lienhypertexte"/>
            <w:rFonts w:ascii="Tenorite" w:eastAsia="Times New Roman" w:hAnsi="Tenorite" w:cs="Times New Roman"/>
            <w:sz w:val="20"/>
            <w:szCs w:val="20"/>
            <w:lang w:eastAsia="fr-FR"/>
          </w:rPr>
          <w:t>Décision</w:t>
        </w:r>
      </w:hyperlink>
      <w:r w:rsidRPr="003C17FD">
        <w:rPr>
          <w:rFonts w:ascii="Tenorite" w:eastAsia="Times New Roman" w:hAnsi="Tenorite" w:cs="Times New Roman"/>
          <w:color w:val="636363"/>
          <w:sz w:val="20"/>
          <w:szCs w:val="20"/>
          <w:lang w:eastAsia="fr-FR"/>
        </w:rPr>
        <w:t xml:space="preserve"> d’exécution (UE) 2026/821 de la Commission du 7 avril 2026 modifiant l’annexe de la décision d’exécution (UE) 2023/2447 concernant des mesures d’urgence motivées par l’apparition de foyers d’influenza aviaire hautement pathogène dans certains États membres (JOUE 08/04/2026)</w:t>
      </w:r>
    </w:p>
    <w:p w14:paraId="11984480" w14:textId="77777777" w:rsidR="00802621" w:rsidRPr="003C17FD" w:rsidRDefault="00802621" w:rsidP="002B2AC7">
      <w:pPr>
        <w:shd w:val="clear" w:color="auto" w:fill="FFFFFF"/>
        <w:spacing w:after="0" w:line="240" w:lineRule="auto"/>
        <w:jc w:val="both"/>
        <w:rPr>
          <w:rFonts w:ascii="Tenorite" w:eastAsia="Times New Roman" w:hAnsi="Tenorite" w:cs="Times New Roman"/>
          <w:color w:val="636363"/>
          <w:sz w:val="20"/>
          <w:szCs w:val="20"/>
          <w:lang w:eastAsia="fr-FR"/>
        </w:rPr>
      </w:pPr>
    </w:p>
    <w:p w14:paraId="0D2B6B12" w14:textId="77777777" w:rsidR="002B2AC7" w:rsidRDefault="002B2AC7" w:rsidP="002B2AC7">
      <w:pPr>
        <w:shd w:val="clear" w:color="auto" w:fill="FFFFFF"/>
        <w:spacing w:after="0" w:line="240" w:lineRule="auto"/>
        <w:jc w:val="both"/>
        <w:rPr>
          <w:rFonts w:ascii="Tenorite" w:eastAsia="Times New Roman" w:hAnsi="Tenorite" w:cs="Times New Roman"/>
          <w:color w:val="636363"/>
          <w:sz w:val="20"/>
          <w:szCs w:val="20"/>
          <w:lang w:eastAsia="fr-FR"/>
        </w:rPr>
      </w:pPr>
      <w:hyperlink r:id="rId78" w:history="1">
        <w:r w:rsidRPr="003C17FD">
          <w:rPr>
            <w:rStyle w:val="Lienhypertexte"/>
            <w:rFonts w:ascii="Tenorite" w:eastAsia="Times New Roman" w:hAnsi="Tenorite" w:cs="Times New Roman"/>
            <w:sz w:val="20"/>
            <w:szCs w:val="20"/>
            <w:lang w:eastAsia="fr-FR"/>
          </w:rPr>
          <w:t>Décision</w:t>
        </w:r>
      </w:hyperlink>
      <w:r w:rsidRPr="003C17FD">
        <w:rPr>
          <w:rFonts w:ascii="Tenorite" w:eastAsia="Times New Roman" w:hAnsi="Tenorite" w:cs="Times New Roman"/>
          <w:color w:val="636363"/>
          <w:sz w:val="20"/>
          <w:szCs w:val="20"/>
          <w:lang w:eastAsia="fr-FR"/>
        </w:rPr>
        <w:t xml:space="preserve"> d’exécution (UE) 2026/856 de la Commission du 10 avril 2026 modifiant l’annexe de la décision d’exécution (UE) 2023/2447 concernant des mesures d’urgence motivées par l’apparition de foyers d’influenza aviaire hautement pathogène dans certains États membres (JOUE 14/04/2026)</w:t>
      </w:r>
    </w:p>
    <w:p w14:paraId="273391E6" w14:textId="77777777" w:rsidR="00802621" w:rsidRPr="003C17FD" w:rsidRDefault="00802621" w:rsidP="002B2AC7">
      <w:pPr>
        <w:shd w:val="clear" w:color="auto" w:fill="FFFFFF"/>
        <w:spacing w:after="0" w:line="240" w:lineRule="auto"/>
        <w:jc w:val="both"/>
        <w:rPr>
          <w:rFonts w:ascii="Tenorite" w:hAnsi="Tenorite"/>
          <w:sz w:val="20"/>
          <w:szCs w:val="20"/>
        </w:rPr>
      </w:pPr>
    </w:p>
    <w:p w14:paraId="496B2755" w14:textId="77777777" w:rsidR="002B2AC7" w:rsidRDefault="002B2AC7" w:rsidP="002B2AC7">
      <w:pPr>
        <w:shd w:val="clear" w:color="auto" w:fill="FFFFFF"/>
        <w:spacing w:after="0" w:line="240" w:lineRule="auto"/>
        <w:jc w:val="both"/>
        <w:rPr>
          <w:rFonts w:ascii="Tenorite" w:hAnsi="Tenorite"/>
          <w:sz w:val="20"/>
          <w:szCs w:val="20"/>
        </w:rPr>
      </w:pPr>
      <w:hyperlink r:id="rId79" w:history="1">
        <w:r w:rsidRPr="003C17FD">
          <w:rPr>
            <w:rStyle w:val="Lienhypertexte"/>
            <w:rFonts w:ascii="Tenorite" w:hAnsi="Tenorite"/>
            <w:sz w:val="20"/>
            <w:szCs w:val="20"/>
          </w:rPr>
          <w:t>Décision d’exécution</w:t>
        </w:r>
      </w:hyperlink>
      <w:r w:rsidRPr="003C17FD">
        <w:rPr>
          <w:rFonts w:ascii="Tenorite" w:hAnsi="Tenorite"/>
          <w:sz w:val="20"/>
          <w:szCs w:val="20"/>
        </w:rPr>
        <w:t xml:space="preserve"> (UE) 2026/896 de la Commission du 17 avril 2026 modifiant l’annexe de la décision d’exécution (UE) 2023/2447 concernant des mesures d’urgence motivées par l’apparition de foyers d’influenza aviaire hautement pathogène dans certains États membres (JOUE 21/04/2026)</w:t>
      </w:r>
    </w:p>
    <w:p w14:paraId="09B11C4F" w14:textId="77777777" w:rsidR="00802621" w:rsidRPr="003C17FD" w:rsidRDefault="00802621" w:rsidP="002B2AC7">
      <w:pPr>
        <w:shd w:val="clear" w:color="auto" w:fill="FFFFFF"/>
        <w:spacing w:after="0" w:line="240" w:lineRule="auto"/>
        <w:jc w:val="both"/>
        <w:rPr>
          <w:rFonts w:ascii="Tenorite" w:hAnsi="Tenorite"/>
          <w:sz w:val="20"/>
          <w:szCs w:val="20"/>
        </w:rPr>
      </w:pPr>
    </w:p>
    <w:p w14:paraId="29F550FD" w14:textId="77777777" w:rsidR="002B2AC7" w:rsidRDefault="002B2AC7" w:rsidP="002B2AC7">
      <w:pPr>
        <w:shd w:val="clear" w:color="auto" w:fill="FFFFFF"/>
        <w:spacing w:after="0" w:line="240" w:lineRule="auto"/>
        <w:jc w:val="both"/>
        <w:rPr>
          <w:rFonts w:ascii="Tenorite" w:hAnsi="Tenorite"/>
          <w:sz w:val="20"/>
          <w:szCs w:val="20"/>
        </w:rPr>
      </w:pPr>
      <w:hyperlink r:id="rId80" w:history="1">
        <w:r w:rsidRPr="003C17FD">
          <w:rPr>
            <w:rStyle w:val="Lienhypertexte"/>
            <w:rFonts w:ascii="Tenorite" w:hAnsi="Tenorite"/>
            <w:sz w:val="20"/>
            <w:szCs w:val="20"/>
          </w:rPr>
          <w:t>Décision d’exécution</w:t>
        </w:r>
      </w:hyperlink>
      <w:r w:rsidRPr="003C17FD">
        <w:rPr>
          <w:rFonts w:ascii="Tenorite" w:hAnsi="Tenorite"/>
          <w:sz w:val="20"/>
          <w:szCs w:val="20"/>
        </w:rPr>
        <w:t xml:space="preserve"> (UE) 2026/998 de la Commission du 27 avril 2026 modifiant l’annexe de la décision d’exécution (UE) 2023/2447 concernant des mesures d’urgence motivées par l’apparition de foyers d’influenza aviaire hautement pathogène dans certains États membres (JOUE 29/04/2026)</w:t>
      </w:r>
    </w:p>
    <w:p w14:paraId="56E77408" w14:textId="77777777" w:rsidR="00802621" w:rsidRPr="003C17FD" w:rsidRDefault="00802621" w:rsidP="002B2AC7">
      <w:pPr>
        <w:shd w:val="clear" w:color="auto" w:fill="FFFFFF"/>
        <w:spacing w:after="0" w:line="240" w:lineRule="auto"/>
        <w:jc w:val="both"/>
        <w:rPr>
          <w:rFonts w:ascii="Tenorite" w:hAnsi="Tenorite"/>
          <w:sz w:val="20"/>
          <w:szCs w:val="20"/>
        </w:rPr>
      </w:pPr>
    </w:p>
    <w:p w14:paraId="371FA374" w14:textId="77777777" w:rsidR="009B0204" w:rsidRDefault="009B0204" w:rsidP="009B0204">
      <w:pPr>
        <w:shd w:val="clear" w:color="auto" w:fill="FFFFFF"/>
        <w:spacing w:after="0" w:line="240" w:lineRule="auto"/>
        <w:jc w:val="both"/>
        <w:rPr>
          <w:rFonts w:ascii="Tenorite" w:eastAsia="Times New Roman" w:hAnsi="Tenorite" w:cs="Times New Roman"/>
          <w:color w:val="636363"/>
          <w:sz w:val="20"/>
          <w:szCs w:val="20"/>
          <w:lang w:eastAsia="fr-FR"/>
        </w:rPr>
      </w:pPr>
      <w:hyperlink r:id="rId81" w:history="1">
        <w:r w:rsidRPr="003C17FD">
          <w:rPr>
            <w:rStyle w:val="Lienhypertexte"/>
            <w:rFonts w:ascii="Tenorite" w:eastAsia="Times New Roman" w:hAnsi="Tenorite" w:cs="Times New Roman"/>
            <w:sz w:val="20"/>
            <w:szCs w:val="20"/>
            <w:lang w:eastAsia="fr-FR"/>
          </w:rPr>
          <w:t>Décision d’exécution</w:t>
        </w:r>
      </w:hyperlink>
      <w:r w:rsidRPr="003C17FD">
        <w:rPr>
          <w:rFonts w:ascii="Tenorite" w:eastAsia="Times New Roman" w:hAnsi="Tenorite" w:cs="Times New Roman"/>
          <w:color w:val="636363"/>
          <w:sz w:val="20"/>
          <w:szCs w:val="20"/>
          <w:lang w:eastAsia="fr-FR"/>
        </w:rPr>
        <w:t xml:space="preserve"> (UE) 2026/862 de la Commission du 14 avril 2026 modifiant l’annexe de la décision d’exécution (UE) 2025/2256 concernant des mesures d’urgence motivées par l’apparition de foyers de la maladie de Newcastle en Pologne (JOUE 16/04/2026)</w:t>
      </w:r>
    </w:p>
    <w:p w14:paraId="4746D280" w14:textId="77777777" w:rsidR="005671AA" w:rsidRPr="003C17FD" w:rsidRDefault="005671AA" w:rsidP="009B0204">
      <w:pPr>
        <w:shd w:val="clear" w:color="auto" w:fill="FFFFFF"/>
        <w:spacing w:after="0" w:line="240" w:lineRule="auto"/>
        <w:jc w:val="both"/>
        <w:rPr>
          <w:rFonts w:ascii="Tenorite" w:eastAsia="Times New Roman" w:hAnsi="Tenorite" w:cs="Times New Roman"/>
          <w:color w:val="636363"/>
          <w:sz w:val="20"/>
          <w:szCs w:val="20"/>
          <w:lang w:eastAsia="fr-FR"/>
        </w:rPr>
      </w:pPr>
    </w:p>
    <w:p w14:paraId="2F5DD886" w14:textId="77777777" w:rsidR="00BF1263" w:rsidRDefault="00BF1263" w:rsidP="00BF1263">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Porcins</w:t>
      </w:r>
    </w:p>
    <w:p w14:paraId="1074AFCE" w14:textId="7EFE4B2F"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proofErr w:type="gramStart"/>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porcins</w:t>
      </w:r>
      <w:proofErr w:type="gramEnd"/>
    </w:p>
    <w:p w14:paraId="3D1B81CF" w14:textId="77777777" w:rsidR="002B2AC7" w:rsidRPr="003C17FD" w:rsidRDefault="002B2AC7" w:rsidP="002B2AC7">
      <w:pPr>
        <w:shd w:val="clear" w:color="auto" w:fill="FFFFFF"/>
        <w:spacing w:after="0" w:line="240" w:lineRule="auto"/>
        <w:jc w:val="both"/>
        <w:rPr>
          <w:rFonts w:ascii="Tenorite" w:hAnsi="Tenorite"/>
          <w:sz w:val="20"/>
          <w:szCs w:val="20"/>
        </w:rPr>
      </w:pPr>
      <w:r w:rsidRPr="003C17FD">
        <w:rPr>
          <w:rFonts w:ascii="Tenorite" w:hAnsi="Tenorite"/>
          <w:b/>
          <w:bCs/>
          <w:sz w:val="20"/>
          <w:szCs w:val="20"/>
        </w:rPr>
        <w:t>Instruction technique </w:t>
      </w:r>
      <w:hyperlink r:id="rId82" w:history="1">
        <w:r w:rsidRPr="003C17FD">
          <w:rPr>
            <w:rStyle w:val="Lienhypertexte"/>
            <w:rFonts w:ascii="Tenorite" w:hAnsi="Tenorite"/>
            <w:sz w:val="20"/>
            <w:szCs w:val="20"/>
          </w:rPr>
          <w:t>DGAL/SDSBEA/2026-213</w:t>
        </w:r>
      </w:hyperlink>
      <w:r w:rsidRPr="003C17FD">
        <w:rPr>
          <w:rFonts w:ascii="Tenorite" w:hAnsi="Tenorite"/>
          <w:sz w:val="20"/>
          <w:szCs w:val="20"/>
        </w:rPr>
        <w:t xml:space="preserve"> du 15-04-2026 - Surveillance évènementielle et gestion des suspicions de pestes porcines en </w:t>
      </w:r>
      <w:proofErr w:type="gramStart"/>
      <w:r w:rsidRPr="003C17FD">
        <w:rPr>
          <w:rFonts w:ascii="Tenorite" w:hAnsi="Tenorite"/>
          <w:sz w:val="20"/>
          <w:szCs w:val="20"/>
        </w:rPr>
        <w:t>élevage.(</w:t>
      </w:r>
      <w:proofErr w:type="gramEnd"/>
      <w:r w:rsidRPr="003C17FD">
        <w:rPr>
          <w:rFonts w:ascii="Tenorite" w:hAnsi="Tenorite"/>
          <w:sz w:val="20"/>
          <w:szCs w:val="20"/>
        </w:rPr>
        <w:t>DGAL)</w:t>
      </w:r>
    </w:p>
    <w:p w14:paraId="634FA8DB" w14:textId="77777777" w:rsidR="002B2AC7" w:rsidRPr="003C17FD" w:rsidRDefault="002B2AC7" w:rsidP="002B2AC7">
      <w:pPr>
        <w:shd w:val="clear" w:color="auto" w:fill="FFFFFF"/>
        <w:spacing w:after="0" w:line="240" w:lineRule="auto"/>
        <w:jc w:val="both"/>
        <w:rPr>
          <w:rFonts w:ascii="Tenorite" w:hAnsi="Tenorite"/>
          <w:sz w:val="20"/>
          <w:szCs w:val="20"/>
        </w:rPr>
      </w:pPr>
    </w:p>
    <w:p w14:paraId="020DBE6B" w14:textId="77777777" w:rsidR="002B2AC7" w:rsidRPr="003C17FD" w:rsidRDefault="002B2AC7" w:rsidP="002B2AC7">
      <w:pPr>
        <w:shd w:val="clear" w:color="auto" w:fill="FFFFFF"/>
        <w:spacing w:after="0" w:line="240" w:lineRule="auto"/>
        <w:jc w:val="both"/>
        <w:rPr>
          <w:rFonts w:ascii="Tenorite" w:hAnsi="Tenorite"/>
          <w:sz w:val="20"/>
          <w:szCs w:val="20"/>
        </w:rPr>
      </w:pPr>
      <w:r w:rsidRPr="003C17FD">
        <w:rPr>
          <w:rFonts w:ascii="Tenorite" w:hAnsi="Tenorite"/>
          <w:b/>
          <w:bCs/>
          <w:sz w:val="20"/>
          <w:szCs w:val="20"/>
        </w:rPr>
        <w:t>Instruction technique </w:t>
      </w:r>
      <w:hyperlink r:id="rId83" w:history="1">
        <w:r w:rsidRPr="003C17FD">
          <w:rPr>
            <w:rStyle w:val="Lienhypertexte"/>
            <w:rFonts w:ascii="Tenorite" w:hAnsi="Tenorite"/>
            <w:sz w:val="20"/>
            <w:szCs w:val="20"/>
          </w:rPr>
          <w:t>DGAL/SDSBEA/2026-216</w:t>
        </w:r>
      </w:hyperlink>
      <w:r w:rsidRPr="003C17FD">
        <w:rPr>
          <w:rFonts w:ascii="Tenorite" w:hAnsi="Tenorite"/>
          <w:sz w:val="20"/>
          <w:szCs w:val="20"/>
        </w:rPr>
        <w:t xml:space="preserve"> du 15-04-2026 - Gestion des foyers de peste porcine africaine en </w:t>
      </w:r>
      <w:proofErr w:type="gramStart"/>
      <w:r w:rsidRPr="003C17FD">
        <w:rPr>
          <w:rFonts w:ascii="Tenorite" w:hAnsi="Tenorite"/>
          <w:sz w:val="20"/>
          <w:szCs w:val="20"/>
        </w:rPr>
        <w:t>élevage.(</w:t>
      </w:r>
      <w:proofErr w:type="gramEnd"/>
      <w:r w:rsidRPr="003C17FD">
        <w:rPr>
          <w:rFonts w:ascii="Tenorite" w:hAnsi="Tenorite"/>
          <w:sz w:val="20"/>
          <w:szCs w:val="20"/>
        </w:rPr>
        <w:t>DGAL)</w:t>
      </w:r>
    </w:p>
    <w:p w14:paraId="644EAEB7" w14:textId="77777777" w:rsidR="002B2AC7" w:rsidRDefault="002B2AC7" w:rsidP="002B2AC7">
      <w:pPr>
        <w:shd w:val="clear" w:color="auto" w:fill="FFFFFF"/>
        <w:spacing w:after="0" w:line="240" w:lineRule="auto"/>
        <w:jc w:val="both"/>
        <w:rPr>
          <w:rFonts w:ascii="Tenorite" w:hAnsi="Tenorite"/>
          <w:sz w:val="20"/>
          <w:szCs w:val="20"/>
        </w:rPr>
      </w:pPr>
      <w:r w:rsidRPr="003C17FD">
        <w:rPr>
          <w:rFonts w:ascii="Tenorite" w:hAnsi="Tenorite"/>
          <w:b/>
          <w:bCs/>
          <w:sz w:val="20"/>
          <w:szCs w:val="20"/>
        </w:rPr>
        <w:t>Instruction technique </w:t>
      </w:r>
      <w:hyperlink r:id="rId84" w:history="1">
        <w:r w:rsidRPr="003C17FD">
          <w:rPr>
            <w:rStyle w:val="Lienhypertexte"/>
            <w:rFonts w:ascii="Tenorite" w:hAnsi="Tenorite"/>
            <w:sz w:val="20"/>
            <w:szCs w:val="20"/>
          </w:rPr>
          <w:t>DGAL/SDSBEA/2026-218</w:t>
        </w:r>
      </w:hyperlink>
      <w:r w:rsidRPr="003C17FD">
        <w:rPr>
          <w:rFonts w:ascii="Tenorite" w:hAnsi="Tenorite"/>
          <w:sz w:val="20"/>
          <w:szCs w:val="20"/>
        </w:rPr>
        <w:t xml:space="preserve"> du 16-04-2026 -Mesures de gestion en zones réglementées peste porcine </w:t>
      </w:r>
      <w:proofErr w:type="gramStart"/>
      <w:r w:rsidRPr="003C17FD">
        <w:rPr>
          <w:rFonts w:ascii="Tenorite" w:hAnsi="Tenorite"/>
          <w:sz w:val="20"/>
          <w:szCs w:val="20"/>
        </w:rPr>
        <w:t>africaine.(</w:t>
      </w:r>
      <w:proofErr w:type="gramEnd"/>
      <w:r w:rsidRPr="003C17FD">
        <w:rPr>
          <w:rFonts w:ascii="Tenorite" w:hAnsi="Tenorite"/>
          <w:sz w:val="20"/>
          <w:szCs w:val="20"/>
        </w:rPr>
        <w:t>DGAL)</w:t>
      </w:r>
    </w:p>
    <w:p w14:paraId="76626015" w14:textId="77777777" w:rsidR="00802621" w:rsidRPr="003C17FD" w:rsidRDefault="00802621" w:rsidP="002B2AC7">
      <w:pPr>
        <w:shd w:val="clear" w:color="auto" w:fill="FFFFFF"/>
        <w:spacing w:after="0" w:line="240" w:lineRule="auto"/>
        <w:jc w:val="both"/>
        <w:rPr>
          <w:rFonts w:ascii="Tenorite" w:hAnsi="Tenorite"/>
          <w:sz w:val="20"/>
          <w:szCs w:val="20"/>
        </w:rPr>
      </w:pPr>
    </w:p>
    <w:p w14:paraId="585E05FD" w14:textId="77777777" w:rsidR="009B0204" w:rsidRPr="003C17FD" w:rsidRDefault="009B0204" w:rsidP="009B0204">
      <w:pPr>
        <w:shd w:val="clear" w:color="auto" w:fill="FFFFFF"/>
        <w:spacing w:after="0" w:line="240" w:lineRule="auto"/>
        <w:jc w:val="both"/>
        <w:rPr>
          <w:rFonts w:ascii="Tenorite" w:hAnsi="Tenorite"/>
          <w:sz w:val="20"/>
          <w:szCs w:val="20"/>
        </w:rPr>
      </w:pPr>
      <w:hyperlink r:id="rId85" w:history="1">
        <w:r w:rsidRPr="003C17FD">
          <w:rPr>
            <w:rStyle w:val="Lienhypertexte"/>
            <w:rFonts w:ascii="Tenorite" w:hAnsi="Tenorite"/>
            <w:sz w:val="20"/>
            <w:szCs w:val="20"/>
          </w:rPr>
          <w:t>Règlement d’exécution</w:t>
        </w:r>
      </w:hyperlink>
      <w:r w:rsidRPr="003C17FD">
        <w:rPr>
          <w:rFonts w:ascii="Tenorite" w:hAnsi="Tenorite"/>
          <w:sz w:val="20"/>
          <w:szCs w:val="20"/>
        </w:rPr>
        <w:t xml:space="preserve"> (UE) 2026/985 de la Commission du 24 avril 2026 modifiant l’annexe I du règlement d’exécution (UE) 2023/594 établissant des mesures spéciales de lutte contre la peste porcine africaine (JOUE 27/04/2026)</w:t>
      </w:r>
    </w:p>
    <w:p w14:paraId="399183E4" w14:textId="77777777" w:rsidR="002B2AC7" w:rsidRPr="003C17FD" w:rsidRDefault="002B2AC7" w:rsidP="002B2AC7">
      <w:pPr>
        <w:shd w:val="clear" w:color="auto" w:fill="FFFFFF"/>
        <w:spacing w:after="0" w:line="240" w:lineRule="auto"/>
        <w:jc w:val="both"/>
        <w:rPr>
          <w:rFonts w:ascii="Tenorite" w:hAnsi="Tenorite"/>
          <w:sz w:val="20"/>
          <w:szCs w:val="20"/>
        </w:rPr>
      </w:pPr>
    </w:p>
    <w:p w14:paraId="0B420160" w14:textId="3A4889C3" w:rsidR="00D025D4"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Autres</w:t>
      </w:r>
      <w:r w:rsidR="000249F5">
        <w:rPr>
          <w:rFonts w:ascii="Tenorite" w:hAnsi="Tenorite"/>
          <w:color w:val="C45911" w:themeColor="accent2" w:themeShade="BF"/>
          <w:sz w:val="20"/>
          <w:szCs w:val="18"/>
        </w:rPr>
        <w:t xml:space="preserve"> espèces/plusieurs espèces</w:t>
      </w:r>
    </w:p>
    <w:p w14:paraId="24806492" w14:textId="77777777" w:rsidR="000249F5" w:rsidRDefault="000249F5" w:rsidP="000249F5">
      <w:pPr>
        <w:shd w:val="clear" w:color="auto" w:fill="FFFFFF"/>
        <w:spacing w:after="0" w:line="240" w:lineRule="auto"/>
        <w:ind w:left="426"/>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w:t>
      </w:r>
    </w:p>
    <w:p w14:paraId="65D13B95" w14:textId="77777777" w:rsidR="009B0204" w:rsidRPr="003C17FD" w:rsidRDefault="009B0204" w:rsidP="009B0204">
      <w:pPr>
        <w:shd w:val="clear" w:color="auto" w:fill="FFFFFF"/>
        <w:spacing w:after="0" w:line="240" w:lineRule="auto"/>
        <w:jc w:val="both"/>
        <w:rPr>
          <w:rFonts w:ascii="Tenorite" w:hAnsi="Tenorite"/>
          <w:sz w:val="20"/>
          <w:szCs w:val="20"/>
        </w:rPr>
      </w:pPr>
      <w:hyperlink r:id="rId86" w:history="1">
        <w:r w:rsidRPr="003C17FD">
          <w:rPr>
            <w:rStyle w:val="Lienhypertexte"/>
            <w:rFonts w:ascii="Tenorite" w:eastAsia="Times New Roman" w:hAnsi="Tenorite" w:cs="Times New Roman"/>
            <w:sz w:val="20"/>
            <w:szCs w:val="20"/>
            <w:lang w:eastAsia="fr-FR"/>
          </w:rPr>
          <w:t>Décision</w:t>
        </w:r>
      </w:hyperlink>
      <w:r w:rsidRPr="003C17FD">
        <w:rPr>
          <w:rFonts w:ascii="Tenorite" w:eastAsia="Times New Roman" w:hAnsi="Tenorite" w:cs="Times New Roman"/>
          <w:color w:val="636363"/>
          <w:sz w:val="20"/>
          <w:szCs w:val="20"/>
          <w:lang w:eastAsia="fr-FR"/>
        </w:rPr>
        <w:t xml:space="preserve"> d’exécution (UE) 2026/782 de la Commission du 27 mars 2026 modifiant la décision d’exécution (UE) 2026/582 concernant certaines mesures d’urgence relatives à la fièvre aphteuse à Chypre (JOUE 01/04/2026)</w:t>
      </w:r>
    </w:p>
    <w:p w14:paraId="26E7C2E2" w14:textId="77777777" w:rsidR="009B0204" w:rsidRDefault="009B0204" w:rsidP="009B0204">
      <w:pPr>
        <w:shd w:val="clear" w:color="auto" w:fill="FFFFFF"/>
        <w:spacing w:after="0" w:line="240" w:lineRule="auto"/>
        <w:jc w:val="both"/>
        <w:rPr>
          <w:rFonts w:ascii="Tenorite" w:eastAsia="Times New Roman" w:hAnsi="Tenorite" w:cs="Times New Roman"/>
          <w:color w:val="636363"/>
          <w:sz w:val="20"/>
          <w:szCs w:val="20"/>
          <w:lang w:eastAsia="fr-FR"/>
        </w:rPr>
      </w:pPr>
      <w:hyperlink r:id="rId87" w:history="1">
        <w:r w:rsidRPr="003C17FD">
          <w:rPr>
            <w:rStyle w:val="Lienhypertexte"/>
            <w:rFonts w:ascii="Tenorite" w:eastAsia="Times New Roman" w:hAnsi="Tenorite" w:cs="Times New Roman"/>
            <w:sz w:val="20"/>
            <w:szCs w:val="20"/>
            <w:lang w:eastAsia="fr-FR"/>
          </w:rPr>
          <w:t>Décision</w:t>
        </w:r>
      </w:hyperlink>
      <w:r w:rsidRPr="003C17FD">
        <w:rPr>
          <w:rFonts w:ascii="Tenorite" w:eastAsia="Times New Roman" w:hAnsi="Tenorite" w:cs="Times New Roman"/>
          <w:color w:val="636363"/>
          <w:sz w:val="20"/>
          <w:szCs w:val="20"/>
          <w:lang w:eastAsia="fr-FR"/>
        </w:rPr>
        <w:t xml:space="preserve"> d’exécution (UE) 2026/820 de la Commission du 1er avril 2026 concernant certaines mesures d’urgence contre la fièvre aphteuse en Grèce et abrogeant la décision d’exécution (UE) 2026/732 (JOUE 08/04/2026)</w:t>
      </w:r>
    </w:p>
    <w:p w14:paraId="1344E39F" w14:textId="77777777" w:rsidR="00802621" w:rsidRPr="003C17FD" w:rsidRDefault="00802621" w:rsidP="009B0204">
      <w:pPr>
        <w:shd w:val="clear" w:color="auto" w:fill="FFFFFF"/>
        <w:spacing w:after="0" w:line="240" w:lineRule="auto"/>
        <w:jc w:val="both"/>
        <w:rPr>
          <w:rFonts w:ascii="Tenorite" w:eastAsia="Times New Roman" w:hAnsi="Tenorite" w:cs="Times New Roman"/>
          <w:color w:val="636363"/>
          <w:sz w:val="20"/>
          <w:szCs w:val="20"/>
          <w:lang w:eastAsia="fr-FR"/>
        </w:rPr>
      </w:pPr>
    </w:p>
    <w:p w14:paraId="4C7646B9" w14:textId="77777777" w:rsidR="009B0204" w:rsidRDefault="009B0204" w:rsidP="009B0204">
      <w:pPr>
        <w:shd w:val="clear" w:color="auto" w:fill="FFFFFF"/>
        <w:spacing w:after="0" w:line="240" w:lineRule="auto"/>
        <w:jc w:val="both"/>
        <w:rPr>
          <w:rFonts w:ascii="Tenorite" w:hAnsi="Tenorite"/>
          <w:sz w:val="20"/>
          <w:szCs w:val="20"/>
        </w:rPr>
      </w:pPr>
      <w:hyperlink r:id="rId88" w:history="1">
        <w:r w:rsidRPr="003C17FD">
          <w:rPr>
            <w:rStyle w:val="Lienhypertexte"/>
            <w:rFonts w:ascii="Tenorite" w:hAnsi="Tenorite"/>
            <w:sz w:val="20"/>
            <w:szCs w:val="20"/>
          </w:rPr>
          <w:t>Décision d’exécution</w:t>
        </w:r>
      </w:hyperlink>
      <w:r w:rsidRPr="003C17FD">
        <w:rPr>
          <w:rFonts w:ascii="Tenorite" w:hAnsi="Tenorite"/>
          <w:sz w:val="20"/>
          <w:szCs w:val="20"/>
        </w:rPr>
        <w:t xml:space="preserve"> (UE) 2026/923 de la Commission du 24 avril 2026 modifiant la décision d’exécution (UE) 2026/582 concernant certaines mesures d’urgence relatives à la fièvre aphteuse à Chypre (JOUE 28/04/2026)</w:t>
      </w:r>
    </w:p>
    <w:p w14:paraId="3D9F157F" w14:textId="77777777" w:rsidR="00802621" w:rsidRPr="003C17FD" w:rsidRDefault="00802621" w:rsidP="009B0204">
      <w:pPr>
        <w:shd w:val="clear" w:color="auto" w:fill="FFFFFF"/>
        <w:spacing w:after="0" w:line="240" w:lineRule="auto"/>
        <w:jc w:val="both"/>
        <w:rPr>
          <w:rFonts w:ascii="Tenorite" w:hAnsi="Tenorite"/>
          <w:sz w:val="20"/>
          <w:szCs w:val="20"/>
        </w:rPr>
      </w:pPr>
    </w:p>
    <w:p w14:paraId="2D04FD30" w14:textId="77777777" w:rsidR="009B0204" w:rsidRPr="003C17FD" w:rsidRDefault="009B0204" w:rsidP="009B0204">
      <w:pPr>
        <w:shd w:val="clear" w:color="auto" w:fill="FFFFFF"/>
        <w:spacing w:after="0" w:line="240" w:lineRule="auto"/>
        <w:jc w:val="both"/>
        <w:rPr>
          <w:rFonts w:ascii="Tenorite" w:hAnsi="Tenorite"/>
          <w:sz w:val="20"/>
          <w:szCs w:val="20"/>
        </w:rPr>
      </w:pPr>
      <w:hyperlink r:id="rId89" w:history="1">
        <w:r w:rsidRPr="003C17FD">
          <w:rPr>
            <w:rStyle w:val="Lienhypertexte"/>
            <w:rFonts w:ascii="Tenorite" w:hAnsi="Tenorite"/>
            <w:sz w:val="20"/>
            <w:szCs w:val="20"/>
          </w:rPr>
          <w:t>Règlement délégué</w:t>
        </w:r>
      </w:hyperlink>
      <w:r w:rsidRPr="003C17FD">
        <w:rPr>
          <w:rFonts w:ascii="Tenorite" w:hAnsi="Tenorite"/>
          <w:sz w:val="20"/>
          <w:szCs w:val="20"/>
        </w:rPr>
        <w:t xml:space="preserve"> (UE) 2026/322 de la Commission du 12 février 2026 modifiant et rectifiant le règlement délégué (UE) 2020/687 complétant le règlement (UE) 2016/429 du Parlement européen et du Conseil en ce qui concerne les règles relatives à la prévention de certaines maladies répertoriées et à la lutte contre celles-ci (JOUE 22/04/2026)</w:t>
      </w:r>
    </w:p>
    <w:p w14:paraId="3F30563A" w14:textId="77777777" w:rsidR="00D025D4" w:rsidRPr="005F3EA3" w:rsidRDefault="00D025D4" w:rsidP="00D025D4">
      <w:pPr>
        <w:rPr>
          <w:rFonts w:ascii="Tenorite" w:hAnsi="Tenorite"/>
        </w:rPr>
      </w:pPr>
    </w:p>
    <w:p w14:paraId="3C68D160" w14:textId="77777777" w:rsidR="000C0DEF" w:rsidRPr="005F3EA3" w:rsidRDefault="000C0DEF" w:rsidP="00D025D4">
      <w:pPr>
        <w:rPr>
          <w:rFonts w:ascii="Tenorite" w:hAnsi="Tenorite"/>
        </w:rPr>
      </w:pPr>
    </w:p>
    <w:sectPr w:rsidR="000C0DEF" w:rsidRPr="005F3EA3" w:rsidSect="000C0DEF">
      <w:headerReference w:type="even" r:id="rId90"/>
      <w:headerReference w:type="default" r:id="rId91"/>
      <w:footerReference w:type="default" r:id="rId92"/>
      <w:headerReference w:type="first" r:id="rId93"/>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29842" w14:textId="77777777" w:rsidR="004146DE" w:rsidRDefault="004146DE" w:rsidP="000C0DEF">
      <w:pPr>
        <w:spacing w:after="0" w:line="240" w:lineRule="auto"/>
      </w:pPr>
      <w:r>
        <w:separator/>
      </w:r>
    </w:p>
  </w:endnote>
  <w:endnote w:type="continuationSeparator" w:id="0">
    <w:p w14:paraId="7A81C129" w14:textId="77777777" w:rsidR="004146DE" w:rsidRDefault="004146DE"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144275"/>
      <w:docPartObj>
        <w:docPartGallery w:val="Page Numbers (Bottom of Page)"/>
        <w:docPartUnique/>
      </w:docPartObj>
    </w:sdtPr>
    <w:sdtEndPr/>
    <w:sdtContent>
      <w:p w14:paraId="4E563226" w14:textId="463950AC" w:rsidR="000C0DEF" w:rsidRDefault="00D16526" w:rsidP="000C0DEF">
        <w:pPr>
          <w:pStyle w:val="Pieddepage"/>
          <w:ind w:right="141"/>
          <w:jc w:val="right"/>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sdtContent>
  </w:sdt>
  <w:p w14:paraId="5BCEC587" w14:textId="2EB18399" w:rsidR="000C0DEF" w:rsidRDefault="00D16526" w:rsidP="00D16526">
    <w:pPr>
      <w:pStyle w:val="Pieddepage"/>
      <w:tabs>
        <w:tab w:val="clear" w:pos="4536"/>
        <w:tab w:val="clear" w:pos="9072"/>
        <w:tab w:val="left" w:pos="3210"/>
      </w:tabs>
      <w:ind w:right="1133"/>
      <w:jc w:val="center"/>
    </w:pPr>
    <w:r w:rsidRPr="00D16526">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0B1BB" w14:textId="77777777" w:rsidR="004146DE" w:rsidRDefault="004146DE" w:rsidP="000C0DEF">
      <w:pPr>
        <w:spacing w:after="0" w:line="240" w:lineRule="auto"/>
      </w:pPr>
      <w:r>
        <w:separator/>
      </w:r>
    </w:p>
  </w:footnote>
  <w:footnote w:type="continuationSeparator" w:id="0">
    <w:p w14:paraId="38B9C875" w14:textId="77777777" w:rsidR="004146DE" w:rsidRDefault="004146DE"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4146DE">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789B3D94" w:rsidR="000C0DEF" w:rsidRPr="000C0DEF" w:rsidRDefault="00B20412"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69504" behindDoc="0" locked="0" layoutInCell="1" allowOverlap="1" wp14:anchorId="39C83A66" wp14:editId="7BA60DE4">
              <wp:simplePos x="0" y="0"/>
              <wp:positionH relativeFrom="column">
                <wp:posOffset>1240325</wp:posOffset>
              </wp:positionH>
              <wp:positionV relativeFrom="paragraph">
                <wp:posOffset>-82116</wp:posOffset>
              </wp:positionV>
              <wp:extent cx="5638800" cy="742950"/>
              <wp:effectExtent l="0" t="0" r="19050" b="19050"/>
              <wp:wrapNone/>
              <wp:docPr id="345504159" name="Zone de texte 2"/>
              <wp:cNvGraphicFramePr/>
              <a:graphic xmlns:a="http://schemas.openxmlformats.org/drawingml/2006/main">
                <a:graphicData uri="http://schemas.microsoft.com/office/word/2010/wordprocessingShape">
                  <wps:wsp>
                    <wps:cNvSpPr txBox="1"/>
                    <wps:spPr>
                      <a:xfrm>
                        <a:off x="0" y="0"/>
                        <a:ext cx="5638800" cy="742950"/>
                      </a:xfrm>
                      <a:prstGeom prst="rect">
                        <a:avLst/>
                      </a:prstGeom>
                      <a:solidFill>
                        <a:schemeClr val="lt1"/>
                      </a:solidFill>
                      <a:ln w="6350">
                        <a:solidFill>
                          <a:prstClr val="black"/>
                        </a:solidFill>
                      </a:ln>
                    </wps:spPr>
                    <wps:txbx>
                      <w:txbxContent>
                        <w:p w14:paraId="17F6A356" w14:textId="77777777" w:rsidR="00B20412" w:rsidRPr="005F3EA3" w:rsidRDefault="00B20412" w:rsidP="00B20412">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6BE4C9BF" w14:textId="77777777" w:rsidR="00B20412" w:rsidRPr="005F3EA3" w:rsidRDefault="00B20412" w:rsidP="00B20412">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4</w:t>
                          </w:r>
                          <w:r w:rsidRPr="005F3EA3">
                            <w:rPr>
                              <w:rFonts w:ascii="Tenorite" w:hAnsi="Tenorite" w:cs="Tahoma"/>
                              <w:b/>
                              <w:color w:val="EF671A"/>
                              <w:sz w:val="28"/>
                              <w:szCs w:val="28"/>
                            </w:rPr>
                            <w:t xml:space="preserve"> du 1er </w:t>
                          </w:r>
                          <w:r>
                            <w:rPr>
                              <w:rFonts w:ascii="Tenorite" w:hAnsi="Tenorite" w:cs="Tahoma"/>
                              <w:b/>
                              <w:color w:val="EF671A"/>
                              <w:sz w:val="28"/>
                              <w:szCs w:val="28"/>
                            </w:rPr>
                            <w:t>avril</w:t>
                          </w:r>
                          <w:r w:rsidRPr="005F3EA3">
                            <w:rPr>
                              <w:rFonts w:ascii="Tenorite" w:hAnsi="Tenorite" w:cs="Tahoma"/>
                              <w:b/>
                              <w:color w:val="EF671A"/>
                              <w:sz w:val="28"/>
                              <w:szCs w:val="28"/>
                            </w:rPr>
                            <w:t xml:space="preserve"> au </w:t>
                          </w:r>
                          <w:r>
                            <w:rPr>
                              <w:rFonts w:ascii="Tenorite" w:hAnsi="Tenorite" w:cs="Tahoma"/>
                              <w:b/>
                              <w:color w:val="EF671A"/>
                              <w:sz w:val="28"/>
                              <w:szCs w:val="28"/>
                            </w:rPr>
                            <w:t>30</w:t>
                          </w:r>
                          <w:r w:rsidRPr="005F3EA3">
                            <w:rPr>
                              <w:rFonts w:ascii="Tenorite" w:hAnsi="Tenorite" w:cs="Tahoma"/>
                              <w:b/>
                              <w:color w:val="EF671A"/>
                              <w:sz w:val="28"/>
                              <w:szCs w:val="28"/>
                            </w:rPr>
                            <w:t xml:space="preserve"> </w:t>
                          </w:r>
                          <w:r>
                            <w:rPr>
                              <w:rFonts w:ascii="Tenorite" w:hAnsi="Tenorite" w:cs="Tahoma"/>
                              <w:b/>
                              <w:color w:val="EF671A"/>
                              <w:sz w:val="28"/>
                              <w:szCs w:val="28"/>
                            </w:rPr>
                            <w:t>avril</w:t>
                          </w:r>
                          <w:r w:rsidRPr="005F3EA3">
                            <w:rPr>
                              <w:rFonts w:ascii="Tenorite" w:hAnsi="Tenorite" w:cs="Tahoma"/>
                              <w:b/>
                              <w:color w:val="EF671A"/>
                              <w:sz w:val="28"/>
                              <w:szCs w:val="28"/>
                            </w:rPr>
                            <w:t xml:space="preserve"> 202</w:t>
                          </w:r>
                          <w:r>
                            <w:rPr>
                              <w:rFonts w:ascii="Tenorite" w:hAnsi="Tenorite" w:cs="Tahoma"/>
                              <w:b/>
                              <w:color w:val="EF671A"/>
                              <w:sz w:val="28"/>
                              <w:szCs w:val="2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9C83A66" id="_x0000_t202" coordsize="21600,21600" o:spt="202" path="m,l,21600r21600,l21600,xe">
              <v:stroke joinstyle="miter"/>
              <v:path gradientshapeok="t" o:connecttype="rect"/>
            </v:shapetype>
            <v:shape id="Zone de texte 2" o:spid="_x0000_s1026" type="#_x0000_t202" style="position:absolute;margin-left:97.65pt;margin-top:-6.45pt;width:444pt;height:58.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" fillcolor="white [3201]" strokeweight=".5pt">
              <v:textbox>
                <w:txbxContent>
                  <w:p w14:paraId="17F6A356" w14:textId="77777777" w:rsidR="00B20412" w:rsidRPr="005F3EA3" w:rsidRDefault="00B20412" w:rsidP="00B20412">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6BE4C9BF" w14:textId="77777777" w:rsidR="00B20412" w:rsidRPr="005F3EA3" w:rsidRDefault="00B20412" w:rsidP="00B20412">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4</w:t>
                    </w:r>
                    <w:r w:rsidRPr="005F3EA3">
                      <w:rPr>
                        <w:rFonts w:ascii="Tenorite" w:hAnsi="Tenorite" w:cs="Tahoma"/>
                        <w:b/>
                        <w:color w:val="EF671A"/>
                        <w:sz w:val="28"/>
                        <w:szCs w:val="28"/>
                      </w:rPr>
                      <w:t xml:space="preserve"> du 1er </w:t>
                    </w:r>
                    <w:r>
                      <w:rPr>
                        <w:rFonts w:ascii="Tenorite" w:hAnsi="Tenorite" w:cs="Tahoma"/>
                        <w:b/>
                        <w:color w:val="EF671A"/>
                        <w:sz w:val="28"/>
                        <w:szCs w:val="28"/>
                      </w:rPr>
                      <w:t>avril</w:t>
                    </w:r>
                    <w:r w:rsidRPr="005F3EA3">
                      <w:rPr>
                        <w:rFonts w:ascii="Tenorite" w:hAnsi="Tenorite" w:cs="Tahoma"/>
                        <w:b/>
                        <w:color w:val="EF671A"/>
                        <w:sz w:val="28"/>
                        <w:szCs w:val="28"/>
                      </w:rPr>
                      <w:t xml:space="preserve"> au </w:t>
                    </w:r>
                    <w:r>
                      <w:rPr>
                        <w:rFonts w:ascii="Tenorite" w:hAnsi="Tenorite" w:cs="Tahoma"/>
                        <w:b/>
                        <w:color w:val="EF671A"/>
                        <w:sz w:val="28"/>
                        <w:szCs w:val="28"/>
                      </w:rPr>
                      <w:t>30</w:t>
                    </w:r>
                    <w:r w:rsidRPr="005F3EA3">
                      <w:rPr>
                        <w:rFonts w:ascii="Tenorite" w:hAnsi="Tenorite" w:cs="Tahoma"/>
                        <w:b/>
                        <w:color w:val="EF671A"/>
                        <w:sz w:val="28"/>
                        <w:szCs w:val="28"/>
                      </w:rPr>
                      <w:t xml:space="preserve"> </w:t>
                    </w:r>
                    <w:r>
                      <w:rPr>
                        <w:rFonts w:ascii="Tenorite" w:hAnsi="Tenorite" w:cs="Tahoma"/>
                        <w:b/>
                        <w:color w:val="EF671A"/>
                        <w:sz w:val="28"/>
                        <w:szCs w:val="28"/>
                      </w:rPr>
                      <w:t>avril</w:t>
                    </w:r>
                    <w:r w:rsidRPr="005F3EA3">
                      <w:rPr>
                        <w:rFonts w:ascii="Tenorite" w:hAnsi="Tenorite" w:cs="Tahoma"/>
                        <w:b/>
                        <w:color w:val="EF671A"/>
                        <w:sz w:val="28"/>
                        <w:szCs w:val="28"/>
                      </w:rPr>
                      <w:t xml:space="preserve"> 202</w:t>
                    </w:r>
                    <w:r>
                      <w:rPr>
                        <w:rFonts w:ascii="Tenorite" w:hAnsi="Tenorite" w:cs="Tahoma"/>
                        <w:b/>
                        <w:color w:val="EF671A"/>
                        <w:sz w:val="28"/>
                        <w:szCs w:val="28"/>
                      </w:rPr>
                      <w:t>6</w:t>
                    </w:r>
                  </w:p>
                </w:txbxContent>
              </v:textbox>
            </v:shape>
          </w:pict>
        </mc:Fallback>
      </mc:AlternateContent>
    </w:r>
    <w:r>
      <w:rPr>
        <w:noProof/>
      </w:rPr>
      <w:drawing>
        <wp:inline distT="0" distB="0" distL="0" distR="0" wp14:anchorId="7F05CC99" wp14:editId="44D3304C">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r w:rsidR="004146DE">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4146DE">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20E9E"/>
    <w:rsid w:val="000249F5"/>
    <w:rsid w:val="000C0DEF"/>
    <w:rsid w:val="0012180A"/>
    <w:rsid w:val="001B42BB"/>
    <w:rsid w:val="00235C28"/>
    <w:rsid w:val="00236838"/>
    <w:rsid w:val="002545C5"/>
    <w:rsid w:val="002B2AC7"/>
    <w:rsid w:val="002B7CB6"/>
    <w:rsid w:val="002D342B"/>
    <w:rsid w:val="002F17D1"/>
    <w:rsid w:val="00336CD1"/>
    <w:rsid w:val="004146DE"/>
    <w:rsid w:val="0041668A"/>
    <w:rsid w:val="00454D3B"/>
    <w:rsid w:val="005671AA"/>
    <w:rsid w:val="005C2B41"/>
    <w:rsid w:val="005F3499"/>
    <w:rsid w:val="005F3EA3"/>
    <w:rsid w:val="005F79C3"/>
    <w:rsid w:val="006F2F5A"/>
    <w:rsid w:val="00767DBA"/>
    <w:rsid w:val="007A1A3F"/>
    <w:rsid w:val="007C3E1C"/>
    <w:rsid w:val="00802621"/>
    <w:rsid w:val="008B7919"/>
    <w:rsid w:val="00901715"/>
    <w:rsid w:val="00920D87"/>
    <w:rsid w:val="00930E35"/>
    <w:rsid w:val="00980424"/>
    <w:rsid w:val="009B0204"/>
    <w:rsid w:val="00AB4847"/>
    <w:rsid w:val="00AB511B"/>
    <w:rsid w:val="00AD542F"/>
    <w:rsid w:val="00B20412"/>
    <w:rsid w:val="00B429F3"/>
    <w:rsid w:val="00B45859"/>
    <w:rsid w:val="00BF1263"/>
    <w:rsid w:val="00BF7342"/>
    <w:rsid w:val="00C04182"/>
    <w:rsid w:val="00C2622D"/>
    <w:rsid w:val="00CE16A2"/>
    <w:rsid w:val="00D025D4"/>
    <w:rsid w:val="00D16526"/>
    <w:rsid w:val="00D54036"/>
    <w:rsid w:val="00E464D9"/>
    <w:rsid w:val="00F13FB8"/>
    <w:rsid w:val="00FB67EF"/>
    <w:rsid w:val="00FD771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454D3B"/>
    <w:rPr>
      <w:strike w:val="0"/>
      <w:dstrike w:val="0"/>
      <w:color w:val="0000FF"/>
      <w:u w:val="none"/>
      <w:effect w:val="none"/>
    </w:rPr>
  </w:style>
  <w:style w:type="paragraph" w:styleId="Textebrut">
    <w:name w:val="Plain Text"/>
    <w:basedOn w:val="Normal"/>
    <w:link w:val="TextebrutCar"/>
    <w:uiPriority w:val="99"/>
    <w:unhideWhenUsed/>
    <w:rsid w:val="00454D3B"/>
    <w:pPr>
      <w:spacing w:after="0" w:line="240" w:lineRule="auto"/>
    </w:pPr>
    <w:rPr>
      <w:rFonts w:ascii="Calibri" w:hAnsi="Calibri"/>
      <w:szCs w:val="21"/>
    </w:rPr>
  </w:style>
  <w:style w:type="character" w:customStyle="1" w:styleId="TextebrutCar">
    <w:name w:val="Texte brut Car"/>
    <w:basedOn w:val="Policepardfaut"/>
    <w:link w:val="Textebrut"/>
    <w:uiPriority w:val="99"/>
    <w:rsid w:val="00454D3B"/>
    <w:rPr>
      <w:rFonts w:ascii="Calibri" w:hAnsi="Calibri"/>
      <w:szCs w:val="21"/>
    </w:rPr>
  </w:style>
  <w:style w:type="character" w:styleId="Lienhypertextesuivivisit">
    <w:name w:val="FollowedHyperlink"/>
    <w:basedOn w:val="Policepardfaut"/>
    <w:uiPriority w:val="99"/>
    <w:semiHidden/>
    <w:unhideWhenUsed/>
    <w:rsid w:val="00454D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600870" TargetMode="External"/><Relationship Id="rId21" Type="http://schemas.openxmlformats.org/officeDocument/2006/relationships/hyperlink" Target="https://eur-lex.europa.eu/legal-content/FR/TXT/PDF/?uri=OJ:L_202600829" TargetMode="External"/><Relationship Id="rId42" Type="http://schemas.openxmlformats.org/officeDocument/2006/relationships/hyperlink" Target="https://info.agriculture.gouv.fr/boagri/instruction-2026-180" TargetMode="External"/><Relationship Id="rId47" Type="http://schemas.openxmlformats.org/officeDocument/2006/relationships/hyperlink" Target="https://knowledge4policy.ec.europa.eu/sites/default/files/202602.pdf" TargetMode="External"/><Relationship Id="rId63" Type="http://schemas.openxmlformats.org/officeDocument/2006/relationships/hyperlink" Target="https://www.legifrance.gouv.fr/jorf/id/JORFTEXT000053982630" TargetMode="External"/><Relationship Id="rId68" Type="http://schemas.openxmlformats.org/officeDocument/2006/relationships/hyperlink" Target="https://eur-lex.europa.eu/legal-content/FR/TXT/PDF/?uri=OJ:L_202600852" TargetMode="External"/><Relationship Id="rId84" Type="http://schemas.openxmlformats.org/officeDocument/2006/relationships/hyperlink" Target="https://info.agriculture.gouv.fr/boagri/instruction-2026-218" TargetMode="External"/><Relationship Id="rId89" Type="http://schemas.openxmlformats.org/officeDocument/2006/relationships/hyperlink" Target="https://eur-lex.europa.eu/legal-content/FR/TXT/PDF/?uri=OJ:L_202600322" TargetMode="External"/><Relationship Id="rId16" Type="http://schemas.openxmlformats.org/officeDocument/2006/relationships/hyperlink" Target="https://eur-lex.europa.eu/legal-content/FR/TXT/PDF/?uri=OJ:L_202600749" TargetMode="External"/><Relationship Id="rId11" Type="http://schemas.openxmlformats.org/officeDocument/2006/relationships/hyperlink" Target="https://www.legifrance.gouv.fr/jorf/id/JORFTEXT000053790666" TargetMode="External"/><Relationship Id="rId32" Type="http://schemas.openxmlformats.org/officeDocument/2006/relationships/hyperlink" Target="https://www.legifrance.gouv.fr/jorf/id/JORFTEXT000053797471" TargetMode="External"/><Relationship Id="rId37" Type="http://schemas.openxmlformats.org/officeDocument/2006/relationships/hyperlink" Target="https://eur-lex.europa.eu/legal-content/FR/TXT/PDF/?uri=OJ:L_202600824" TargetMode="External"/><Relationship Id="rId53" Type="http://schemas.openxmlformats.org/officeDocument/2006/relationships/hyperlink" Target="https://eur-lex.europa.eu/legal-content/FR/TXT/PDF/?uri=OJ:C_202602551" TargetMode="External"/><Relationship Id="rId58" Type="http://schemas.openxmlformats.org/officeDocument/2006/relationships/hyperlink" Target="https://info.agriculture.gouv.fr/boagri/document_administratif-66a99a35-e905-497d-beb2-c2195afe7843" TargetMode="External"/><Relationship Id="rId74" Type="http://schemas.openxmlformats.org/officeDocument/2006/relationships/hyperlink" Target="https://info.agriculture.gouv.fr/boagri/instruction-2026-196" TargetMode="External"/><Relationship Id="rId79" Type="http://schemas.openxmlformats.org/officeDocument/2006/relationships/hyperlink" Target="https://eur-lex.europa.eu/legal-content/FR/TXT/PDF/?uri=OJ:L_202600896" TargetMode="External"/><Relationship Id="rId5" Type="http://schemas.openxmlformats.org/officeDocument/2006/relationships/footnotes" Target="footnotes.xml"/><Relationship Id="rId90" Type="http://schemas.openxmlformats.org/officeDocument/2006/relationships/header" Target="header1.xml"/><Relationship Id="rId95" Type="http://schemas.openxmlformats.org/officeDocument/2006/relationships/theme" Target="theme/theme1.xml"/><Relationship Id="rId22" Type="http://schemas.openxmlformats.org/officeDocument/2006/relationships/hyperlink" Target="https://eur-lex.europa.eu/legal-content/FR/TXT/PDF/?uri=OJ:L_202600891" TargetMode="External"/><Relationship Id="rId27" Type="http://schemas.openxmlformats.org/officeDocument/2006/relationships/hyperlink" Target="https://eur-lex.europa.eu/legal-content/FR/TXT/PDF/?uri=OJ:L_202600899" TargetMode="External"/><Relationship Id="rId43" Type="http://schemas.openxmlformats.org/officeDocument/2006/relationships/hyperlink" Target="https://vigilanses.anses.fr/sites/default/files/VigilAnsesN28FR.pdf" TargetMode="External"/><Relationship Id="rId48" Type="http://schemas.openxmlformats.org/officeDocument/2006/relationships/hyperlink" Target="https://info.agriculture.gouv.fr/boagri/instruction-2026-185" TargetMode="External"/><Relationship Id="rId64" Type="http://schemas.openxmlformats.org/officeDocument/2006/relationships/hyperlink" Target="https://eur-lex.europa.eu/legal-content/FR/TXT/PDF/?uri=OJ:C_202602145" TargetMode="External"/><Relationship Id="rId69" Type="http://schemas.openxmlformats.org/officeDocument/2006/relationships/hyperlink" Target="https://eur-lex.europa.eu/legal-content/FR/TXT/PDF/?uri=OJ:L_202600922" TargetMode="External"/><Relationship Id="rId8" Type="http://schemas.openxmlformats.org/officeDocument/2006/relationships/hyperlink" Target="https://eur-lex.europa.eu/legal-content/FR/TXT/PDF/?uri=OJ:C_202601972" TargetMode="External"/><Relationship Id="rId51" Type="http://schemas.openxmlformats.org/officeDocument/2006/relationships/hyperlink" Target="https://eur-lex.europa.eu/legal-content/FR/TXT/PDF/?uri=OJ:L_202600888" TargetMode="External"/><Relationship Id="rId72" Type="http://schemas.openxmlformats.org/officeDocument/2006/relationships/hyperlink" Target="https://eur-lex.europa.eu/legal-content/FR/TXT/PDF/?uri=OJ:L_202600961" TargetMode="External"/><Relationship Id="rId80" Type="http://schemas.openxmlformats.org/officeDocument/2006/relationships/hyperlink" Target="https://eur-lex.europa.eu/legal-content/FR/TXT/PDF/?uri=OJ:L_202600998" TargetMode="External"/><Relationship Id="rId85" Type="http://schemas.openxmlformats.org/officeDocument/2006/relationships/hyperlink" Target="https://eur-lex.europa.eu/legal-content/FR/TXT/PDF/?uri=OJ:L_202600985" TargetMode="External"/><Relationship Id="rId93"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hyperlink" Target="https://www.legifrance.gouv.fr/jorf/id/JORFTEXT000053886355" TargetMode="External"/><Relationship Id="rId17" Type="http://schemas.openxmlformats.org/officeDocument/2006/relationships/hyperlink" Target="https://eur-lex.europa.eu/legal-content/FR/TXT/PDF/?uri=OJ:L_202600750" TargetMode="External"/><Relationship Id="rId25" Type="http://schemas.openxmlformats.org/officeDocument/2006/relationships/hyperlink" Target="https://eur-lex.europa.eu/legal-content/FR/TXT/PDF/?uri=OJ:C_202602186" TargetMode="External"/><Relationship Id="rId33" Type="http://schemas.openxmlformats.org/officeDocument/2006/relationships/hyperlink" Target="https://eur-lex.europa.eu/legal-content/FR/TXT/PDF/?uri=OJ:L_202600751" TargetMode="External"/><Relationship Id="rId38" Type="http://schemas.openxmlformats.org/officeDocument/2006/relationships/hyperlink" Target="https://eur-lex.europa.eu/legal-content/FR/TXT/PDF/?uri=OJ:L_202600840" TargetMode="External"/><Relationship Id="rId46" Type="http://schemas.openxmlformats.org/officeDocument/2006/relationships/hyperlink" Target="https://www.plateforme-sca.fr/page/le-dernier-busca" TargetMode="External"/><Relationship Id="rId59" Type="http://schemas.openxmlformats.org/officeDocument/2006/relationships/hyperlink" Target="https://info.agriculture.gouv.fr/boagri/document_administratif-ab1ac0ee-7812-413a-8452-aa6dad38a6be" TargetMode="External"/><Relationship Id="rId67" Type="http://schemas.openxmlformats.org/officeDocument/2006/relationships/hyperlink" Target="https://www.anses.fr/system/files/SABA-2026-SA-0043.pdf" TargetMode="External"/><Relationship Id="rId20" Type="http://schemas.openxmlformats.org/officeDocument/2006/relationships/hyperlink" Target="https://eur-lex.europa.eu/legal-content/FR/TXT/PDF/?uri=OJ:L_202600823" TargetMode="External"/><Relationship Id="rId41" Type="http://schemas.openxmlformats.org/officeDocument/2006/relationships/hyperlink" Target="https://eur-lex.europa.eu/legal-content/FR/TXT/PDF/?uri=OJ:L_202600878" TargetMode="External"/><Relationship Id="rId54" Type="http://schemas.openxmlformats.org/officeDocument/2006/relationships/hyperlink" Target="https://eur-lex.europa.eu/legal-content/FR/TXT/PDF/?uri=OJ:C_202602281" TargetMode="External"/><Relationship Id="rId62" Type="http://schemas.openxmlformats.org/officeDocument/2006/relationships/hyperlink" Target="https://www.legifrance.gouv.fr/jorf/id/JORFTEXT000053926635" TargetMode="External"/><Relationship Id="rId70" Type="http://schemas.openxmlformats.org/officeDocument/2006/relationships/hyperlink" Target="https://eur-lex.europa.eu/legal-content/FR/TXT/PDF/?uri=OJ:L_202600924" TargetMode="External"/><Relationship Id="rId75" Type="http://schemas.openxmlformats.org/officeDocument/2006/relationships/hyperlink" Target="https://info.agriculture.gouv.fr/boagri/rectificatif-bb71a58b-d145-44c3-91df-c4feca8cc5c6" TargetMode="External"/><Relationship Id="rId83" Type="http://schemas.openxmlformats.org/officeDocument/2006/relationships/hyperlink" Target="https://info.agriculture.gouv.fr/boagri/instruction-2026-216" TargetMode="External"/><Relationship Id="rId88" Type="http://schemas.openxmlformats.org/officeDocument/2006/relationships/hyperlink" Target="https://eur-lex.europa.eu/legal-content/FR/TXT/PDF/?uri=OJ:L_202600923" TargetMode="External"/><Relationship Id="rId9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600747" TargetMode="External"/><Relationship Id="rId23" Type="http://schemas.openxmlformats.org/officeDocument/2006/relationships/hyperlink" Target="https://eur-lex.europa.eu/legal-content/FR/TXT/PDF/?uri=OJ:C_202601699" TargetMode="External"/><Relationship Id="rId28" Type="http://schemas.openxmlformats.org/officeDocument/2006/relationships/hyperlink" Target="https://eur-lex.europa.eu/legal-content/FR/TXT/PDF/?uri=OJ:L_202600900" TargetMode="External"/><Relationship Id="rId36" Type="http://schemas.openxmlformats.org/officeDocument/2006/relationships/hyperlink" Target="https://eur-lex.europa.eu/legal-content/FR/TXT/PDF/?uri=OJ:L_202600765" TargetMode="External"/><Relationship Id="rId49" Type="http://schemas.openxmlformats.org/officeDocument/2006/relationships/hyperlink" Target="https://eur-lex.europa.eu/legal-content/FR/TXT/PDF/?uri=OJ:C_202601730" TargetMode="External"/><Relationship Id="rId57" Type="http://schemas.openxmlformats.org/officeDocument/2006/relationships/hyperlink" Target="https://www.legifrance.gouv.fr/jorf/id/JORFTEXT000053957438" TargetMode="External"/><Relationship Id="rId10" Type="http://schemas.openxmlformats.org/officeDocument/2006/relationships/hyperlink" Target="https://www.anses.fr/system/files/PHYTO2025-SA-0104.pdf" TargetMode="External"/><Relationship Id="rId31" Type="http://schemas.openxmlformats.org/officeDocument/2006/relationships/hyperlink" Target="https://eur-lex.europa.eu/legal-content/FR/TXT/PDF/?uri=OJ:L_202600892" TargetMode="External"/><Relationship Id="rId44" Type="http://schemas.openxmlformats.org/officeDocument/2006/relationships/hyperlink" Target="https://www.plateforme-sca.fr/page/le-dernier-busca?page=2" TargetMode="External"/><Relationship Id="rId52" Type="http://schemas.openxmlformats.org/officeDocument/2006/relationships/hyperlink" Target="https://eur-lex.europa.eu/legal-content/FR/TXT/PDF/?uri=OJ:C_202602550" TargetMode="External"/><Relationship Id="rId60" Type="http://schemas.openxmlformats.org/officeDocument/2006/relationships/hyperlink" Target="https://info.agriculture.gouv.fr/boagri/document_administratif-3d0e2ad8-975f-4682-8022-6071fe0b4afe" TargetMode="External"/><Relationship Id="rId65" Type="http://schemas.openxmlformats.org/officeDocument/2006/relationships/hyperlink" Target="https://www.legifrance.gouv.fr/jorf/id/JORFTEXT000053957438" TargetMode="External"/><Relationship Id="rId73" Type="http://schemas.openxmlformats.org/officeDocument/2006/relationships/hyperlink" Target="https://eur-lex.europa.eu/legal-content/FR/TXT/PDF/?uri=OJ:L_202600838" TargetMode="External"/><Relationship Id="rId78" Type="http://schemas.openxmlformats.org/officeDocument/2006/relationships/hyperlink" Target="https://eur-lex.europa.eu/legal-content/FR/TXT/PDF/?uri=OJ:L_202600856" TargetMode="External"/><Relationship Id="rId81" Type="http://schemas.openxmlformats.org/officeDocument/2006/relationships/hyperlink" Target="https://eur-lex.europa.eu/legal-content/FR/TXT/PDF/?uri=OJ:L_202600862" TargetMode="External"/><Relationship Id="rId86" Type="http://schemas.openxmlformats.org/officeDocument/2006/relationships/hyperlink" Target="https://eur-lex.europa.eu/legal-content/FR/TXT/PDF/?uri=OJ:L_202600782"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agriculture.gouv.fr/boagri/document_administratif-65ecd035-286a-4430-9e41-756e124ef9fd" TargetMode="External"/><Relationship Id="rId13" Type="http://schemas.openxmlformats.org/officeDocument/2006/relationships/hyperlink" Target="https://www.legifrance.gouv.fr/jorf/id/JORFTEXT000053901107" TargetMode="External"/><Relationship Id="rId18" Type="http://schemas.openxmlformats.org/officeDocument/2006/relationships/hyperlink" Target="https://eur-lex.europa.eu/legal-content/FR/TXT/PDF/?uri=OJ:L_202690291" TargetMode="External"/><Relationship Id="rId39" Type="http://schemas.openxmlformats.org/officeDocument/2006/relationships/hyperlink" Target="https://eur-lex.europa.eu/legal-content/FR/TXT/PDF/?uri=OJ:L_202600876" TargetMode="External"/><Relationship Id="rId34" Type="http://schemas.openxmlformats.org/officeDocument/2006/relationships/hyperlink" Target="https://eur-lex.europa.eu/legal-content/FR/TXT/PDF/?uri=OJ:L_202600752" TargetMode="External"/><Relationship Id="rId50" Type="http://schemas.openxmlformats.org/officeDocument/2006/relationships/hyperlink" Target="https://eur-lex.europa.eu/legal-content/FR/TXT/PDF/?uri=OJ:L_202600826" TargetMode="External"/><Relationship Id="rId55" Type="http://schemas.openxmlformats.org/officeDocument/2006/relationships/hyperlink" Target="https://www.legifrance.gouv.fr/jorf/id/JORFTEXT000053761973" TargetMode="External"/><Relationship Id="rId76" Type="http://schemas.openxmlformats.org/officeDocument/2006/relationships/hyperlink" Target="https://www.legifrance.gouv.fr/jorf/id/JORFTEXT000053958887" TargetMode="External"/><Relationship Id="rId7" Type="http://schemas.openxmlformats.org/officeDocument/2006/relationships/hyperlink" Target="https://eur-lex.europa.eu/legal-content/FR/TXT/PDF/?uri=OJ:C_202601545" TargetMode="External"/><Relationship Id="rId71" Type="http://schemas.openxmlformats.org/officeDocument/2006/relationships/hyperlink" Target="https://eur-lex.europa.eu/legal-content/FR/TXT/PDF/?uri=OJ:L_202600766" TargetMode="External"/><Relationship Id="rId92" Type="http://schemas.openxmlformats.org/officeDocument/2006/relationships/footer" Target="footer1.xml"/><Relationship Id="rId2" Type="http://schemas.openxmlformats.org/officeDocument/2006/relationships/styles" Target="styles.xml"/><Relationship Id="rId29" Type="http://schemas.openxmlformats.org/officeDocument/2006/relationships/hyperlink" Target="https://eur-lex.europa.eu/legal-content/FR/TXT/PDF/?uri=OJ:L_202690340" TargetMode="External"/><Relationship Id="rId24" Type="http://schemas.openxmlformats.org/officeDocument/2006/relationships/hyperlink" Target="https://eur-lex.europa.eu/legal-content/FR/TXT/PDF/?uri=OJ:C_202602118" TargetMode="External"/><Relationship Id="rId40" Type="http://schemas.openxmlformats.org/officeDocument/2006/relationships/hyperlink" Target="https://www.legifrance.gouv.fr/jorf/id/JORFTEXT000053975498" TargetMode="External"/><Relationship Id="rId45" Type="http://schemas.openxmlformats.org/officeDocument/2006/relationships/hyperlink" Target="https://www.plateforme-sca.fr/page/le-dernier-busca" TargetMode="External"/><Relationship Id="rId66" Type="http://schemas.openxmlformats.org/officeDocument/2006/relationships/hyperlink" Target="https://eur-lex.europa.eu/legal-content/FR/TXT/PDF/?uri=OJ:L_202601003" TargetMode="External"/><Relationship Id="rId87" Type="http://schemas.openxmlformats.org/officeDocument/2006/relationships/hyperlink" Target="https://eur-lex.europa.eu/legal-content/FR/TXT/PDF/?uri=OJ:L_202600820" TargetMode="External"/><Relationship Id="rId61" Type="http://schemas.openxmlformats.org/officeDocument/2006/relationships/hyperlink" Target="https://www.legifrance.gouv.fr/jorf/id/JORFTEXT000053926631" TargetMode="External"/><Relationship Id="rId82" Type="http://schemas.openxmlformats.org/officeDocument/2006/relationships/hyperlink" Target="https://info.agriculture.gouv.fr/boagri/instruction-2026-213" TargetMode="External"/><Relationship Id="rId19" Type="http://schemas.openxmlformats.org/officeDocument/2006/relationships/hyperlink" Target="https://eur-lex.europa.eu/legal-content/FR/TXT/PDF/?uri=OJ:C_202690027" TargetMode="External"/><Relationship Id="rId14" Type="http://schemas.openxmlformats.org/officeDocument/2006/relationships/hyperlink" Target="https://www.legifrance.gouv.fr/jorf/id/JORFTEXT000053909997" TargetMode="External"/><Relationship Id="rId30" Type="http://schemas.openxmlformats.org/officeDocument/2006/relationships/hyperlink" Target="https://eur-lex.europa.eu/legal-content/FR/TXT/PDF/?uri=OJ:L_202690341" TargetMode="External"/><Relationship Id="rId35" Type="http://schemas.openxmlformats.org/officeDocument/2006/relationships/hyperlink" Target="https://eur-lex.europa.eu/legal-content/FR/TXT/PDF/?uri=OJ:L_202600748" TargetMode="External"/><Relationship Id="rId56" Type="http://schemas.openxmlformats.org/officeDocument/2006/relationships/hyperlink" Target="https://info.agriculture.gouv.fr/boagri/document_administratif-51c92904-1fff-4c69-ab9d-35f0956b8d72" TargetMode="External"/><Relationship Id="rId77" Type="http://schemas.openxmlformats.org/officeDocument/2006/relationships/hyperlink" Target="https://eur-lex.europa.eu/legal-content/FR/TXT/PDF/?uri=OJ:L_20260082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4561</Words>
  <Characters>25091</Characters>
  <Application>Microsoft Office Word</Application>
  <DocSecurity>0</DocSecurity>
  <Lines>209</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4</cp:revision>
  <dcterms:created xsi:type="dcterms:W3CDTF">2026-05-07T07:19:00Z</dcterms:created>
  <dcterms:modified xsi:type="dcterms:W3CDTF">2026-05-19T19:46:00Z</dcterms:modified>
</cp:coreProperties>
</file>