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C5449" w14:textId="7737C026" w:rsidR="002B7CB6" w:rsidRDefault="002B7CB6" w:rsidP="005F3EA3">
      <w:pPr>
        <w:spacing w:after="0" w:line="240" w:lineRule="auto"/>
        <w:jc w:val="center"/>
        <w:rPr>
          <w:rFonts w:ascii="Tenorite" w:hAnsi="Tenorite" w:cs="Tahoma"/>
          <w:b/>
          <w:color w:val="EF671A"/>
          <w:sz w:val="32"/>
          <w:szCs w:val="32"/>
          <w:u w:val="single"/>
        </w:rPr>
      </w:pPr>
      <w:r w:rsidRPr="005F3EA3">
        <w:rPr>
          <w:rFonts w:ascii="Tenorite" w:hAnsi="Tenorite" w:cs="Tahoma"/>
          <w:b/>
          <w:color w:val="EF671A"/>
          <w:sz w:val="32"/>
          <w:szCs w:val="32"/>
          <w:u w:val="single"/>
        </w:rPr>
        <w:t xml:space="preserve">Partie 1 : Règlementation générale </w:t>
      </w:r>
    </w:p>
    <w:p w14:paraId="4CEA5421" w14:textId="7C64E32A" w:rsidR="002B7CB6" w:rsidRPr="005F3EA3" w:rsidRDefault="002B7CB6" w:rsidP="002B7CB6">
      <w:pPr>
        <w:shd w:val="clear" w:color="auto" w:fill="D9D9D9" w:themeFill="background1" w:themeFillShade="D9"/>
        <w:spacing w:after="0" w:line="240" w:lineRule="auto"/>
        <w:ind w:left="284" w:hanging="142"/>
        <w:rPr>
          <w:rFonts w:ascii="Tenorite" w:hAnsi="Tenorite"/>
          <w:b/>
          <w:color w:val="833C0B" w:themeColor="accent2" w:themeShade="80"/>
          <w:sz w:val="24"/>
        </w:rPr>
      </w:pPr>
      <w:r w:rsidRPr="005F3EA3">
        <w:rPr>
          <w:rFonts w:ascii="Tenorite" w:hAnsi="Tenorite"/>
          <w:b/>
          <w:color w:val="833C0B" w:themeColor="accent2" w:themeShade="80"/>
          <w:sz w:val="24"/>
        </w:rPr>
        <w:t xml:space="preserve">ADDITIFS, </w:t>
      </w:r>
      <w:r w:rsidR="00767DBA">
        <w:rPr>
          <w:rFonts w:ascii="Tenorite" w:hAnsi="Tenorite"/>
          <w:b/>
          <w:color w:val="833C0B" w:themeColor="accent2" w:themeShade="80"/>
          <w:sz w:val="24"/>
        </w:rPr>
        <w:t>ET INGREDIENTS</w:t>
      </w:r>
    </w:p>
    <w:p w14:paraId="49061338" w14:textId="26CB1CD9" w:rsidR="002B7CB6" w:rsidRPr="006E453B" w:rsidRDefault="00FD7719" w:rsidP="002B7CB6">
      <w:pPr>
        <w:spacing w:after="0" w:line="240" w:lineRule="auto"/>
        <w:ind w:left="284" w:hanging="142"/>
        <w:rPr>
          <w:rFonts w:ascii="Tenorite" w:eastAsia="MS Gothic" w:hAnsi="Tenorite" w:cs="Segoe UI Symbol"/>
          <w:b/>
          <w:sz w:val="28"/>
        </w:rPr>
      </w:pPr>
      <w:r w:rsidRPr="006E453B">
        <w:rPr>
          <w:rFonts w:ascii="Tenorite" w:eastAsia="MS Gothic" w:hAnsi="Tenorite" w:cs="Segoe UI Symbol"/>
          <w:b/>
          <w:sz w:val="28"/>
        </w:rPr>
        <w:t>/</w:t>
      </w:r>
    </w:p>
    <w:p w14:paraId="19693B20" w14:textId="77777777" w:rsidR="002B7CB6" w:rsidRPr="005F3EA3" w:rsidRDefault="002B7CB6" w:rsidP="002B7CB6">
      <w:pPr>
        <w:shd w:val="clear" w:color="auto" w:fill="D9D9D9" w:themeFill="background1" w:themeFillShade="D9"/>
        <w:spacing w:after="0" w:line="240" w:lineRule="auto"/>
        <w:ind w:left="284" w:hanging="142"/>
        <w:rPr>
          <w:rFonts w:ascii="Tenorite" w:hAnsi="Tenorite"/>
          <w:b/>
          <w:color w:val="833C0B" w:themeColor="accent2" w:themeShade="80"/>
          <w:sz w:val="24"/>
        </w:rPr>
      </w:pPr>
      <w:r w:rsidRPr="005F3EA3">
        <w:rPr>
          <w:rFonts w:ascii="Tenorite" w:hAnsi="Tenorite"/>
          <w:b/>
          <w:color w:val="833C0B" w:themeColor="accent2" w:themeShade="80"/>
          <w:sz w:val="24"/>
        </w:rPr>
        <w:t>ANALYSE ET CONTROLE</w:t>
      </w:r>
    </w:p>
    <w:p w14:paraId="62D95A30" w14:textId="77777777" w:rsidR="00610190" w:rsidRPr="00D926E8" w:rsidRDefault="00610190" w:rsidP="00610190">
      <w:pPr>
        <w:spacing w:after="0" w:line="240" w:lineRule="auto"/>
        <w:ind w:left="284" w:hanging="142"/>
        <w:rPr>
          <w:rFonts w:ascii="Tenorite" w:hAnsi="Tenorite"/>
          <w:color w:val="C45911" w:themeColor="accent2" w:themeShade="BF"/>
          <w:sz w:val="20"/>
        </w:rPr>
      </w:pPr>
      <w:r w:rsidRPr="00D926E8">
        <w:rPr>
          <w:rFonts w:ascii="Tenorite" w:hAnsi="Tenorite"/>
          <w:color w:val="C45911" w:themeColor="accent2" w:themeShade="BF"/>
          <w:sz w:val="20"/>
        </w:rPr>
        <w:t>Plans de contrôle, PSPC, …</w:t>
      </w:r>
    </w:p>
    <w:p w14:paraId="4765D4E1" w14:textId="77777777" w:rsidR="00610190" w:rsidRPr="00D926E8" w:rsidRDefault="00610190" w:rsidP="00610190">
      <w:pPr>
        <w:shd w:val="clear" w:color="auto" w:fill="FFFFFF"/>
        <w:spacing w:after="0" w:line="240" w:lineRule="auto"/>
        <w:ind w:left="142"/>
        <w:rPr>
          <w:rFonts w:ascii="Tenorite" w:hAnsi="Tenorite"/>
        </w:rPr>
      </w:pPr>
      <w:r w:rsidRPr="00D926E8">
        <w:rPr>
          <w:rFonts w:ascii="Tenorite" w:eastAsia="Times New Roman" w:hAnsi="Tenorite" w:cs="Times New Roman"/>
          <w:b/>
          <w:bCs/>
          <w:color w:val="636363"/>
          <w:sz w:val="21"/>
          <w:szCs w:val="21"/>
          <w:lang w:eastAsia="fr-FR"/>
        </w:rPr>
        <w:t>Instruction technique </w:t>
      </w:r>
      <w:hyperlink r:id="rId7" w:history="1">
        <w:r w:rsidRPr="00D926E8">
          <w:rPr>
            <w:rFonts w:ascii="Tenorite" w:eastAsia="Times New Roman" w:hAnsi="Tenorite" w:cs="Times New Roman"/>
            <w:color w:val="000091"/>
            <w:sz w:val="21"/>
            <w:szCs w:val="21"/>
            <w:lang w:eastAsia="fr-FR"/>
          </w:rPr>
          <w:t>DGAL/SDEIGIR/</w:t>
        </w:r>
        <w:r w:rsidRPr="00D926E8">
          <w:rPr>
            <w:rFonts w:ascii="Tenorite" w:eastAsia="Times New Roman" w:hAnsi="Tenorite" w:cs="Times New Roman"/>
            <w:color w:val="000091"/>
            <w:sz w:val="21"/>
            <w:szCs w:val="21"/>
            <w:lang w:eastAsia="fr-FR"/>
          </w:rPr>
          <w:t>2</w:t>
        </w:r>
        <w:r w:rsidRPr="00D926E8">
          <w:rPr>
            <w:rFonts w:ascii="Tenorite" w:eastAsia="Times New Roman" w:hAnsi="Tenorite" w:cs="Times New Roman"/>
            <w:color w:val="000091"/>
            <w:sz w:val="21"/>
            <w:szCs w:val="21"/>
            <w:lang w:eastAsia="fr-FR"/>
          </w:rPr>
          <w:t>026-261</w:t>
        </w:r>
      </w:hyperlink>
      <w:r w:rsidRPr="00D926E8">
        <w:rPr>
          <w:rFonts w:ascii="Tenorite" w:eastAsia="Times New Roman" w:hAnsi="Tenorite" w:cs="Times New Roman"/>
          <w:color w:val="636363"/>
          <w:sz w:val="21"/>
          <w:szCs w:val="21"/>
          <w:lang w:eastAsia="fr-FR"/>
        </w:rPr>
        <w:t> du 06-05-2026 - Plans de contrôle et de surveillance des résidus de produits phytopharmaceutiques en production primaire végétale pour l’année 2026 - Dispositif PSPC (DGAL)</w:t>
      </w:r>
    </w:p>
    <w:p w14:paraId="109B7013" w14:textId="77777777" w:rsidR="00802621" w:rsidRPr="005F3EA3" w:rsidRDefault="00802621" w:rsidP="00767DBA">
      <w:pPr>
        <w:spacing w:after="0" w:line="240" w:lineRule="auto"/>
        <w:ind w:left="284" w:hanging="142"/>
        <w:rPr>
          <w:rFonts w:ascii="Tenorite" w:hAnsi="Tenorite"/>
          <w:color w:val="C45911" w:themeColor="accent2" w:themeShade="BF"/>
          <w:sz w:val="20"/>
        </w:rPr>
      </w:pPr>
    </w:p>
    <w:p w14:paraId="3570CAB8" w14:textId="77777777" w:rsidR="002B7CB6" w:rsidRPr="005F3EA3" w:rsidRDefault="002B7CB6" w:rsidP="002B7CB6">
      <w:pPr>
        <w:shd w:val="clear" w:color="auto" w:fill="D9D9D9" w:themeFill="background1" w:themeFillShade="D9"/>
        <w:spacing w:after="0" w:line="240" w:lineRule="auto"/>
        <w:ind w:left="284" w:hanging="142"/>
        <w:rPr>
          <w:rFonts w:ascii="Tenorite" w:hAnsi="Tenorite"/>
          <w:b/>
          <w:color w:val="833C0B" w:themeColor="accent2" w:themeShade="80"/>
          <w:sz w:val="24"/>
        </w:rPr>
      </w:pPr>
      <w:r w:rsidRPr="005F3EA3">
        <w:rPr>
          <w:rFonts w:ascii="Tenorite" w:hAnsi="Tenorite"/>
          <w:b/>
          <w:color w:val="833C0B" w:themeColor="accent2" w:themeShade="80"/>
          <w:sz w:val="24"/>
        </w:rPr>
        <w:t>BIOCIDES – PRODUITS DE NETTOYAGE</w:t>
      </w:r>
    </w:p>
    <w:p w14:paraId="4FC1AEE6" w14:textId="77777777" w:rsidR="00610190" w:rsidRPr="00D926E8" w:rsidRDefault="00610190" w:rsidP="00610190">
      <w:pPr>
        <w:shd w:val="clear" w:color="auto" w:fill="FFFFFF"/>
        <w:spacing w:after="0" w:line="240" w:lineRule="auto"/>
        <w:ind w:left="142"/>
        <w:jc w:val="both"/>
        <w:rPr>
          <w:rFonts w:ascii="Tenorite" w:eastAsia="Times New Roman" w:hAnsi="Tenorite" w:cstheme="minorHAnsi"/>
          <w:color w:val="EE0000"/>
          <w:sz w:val="20"/>
          <w:szCs w:val="20"/>
          <w:lang w:eastAsia="fr-FR"/>
        </w:rPr>
      </w:pPr>
      <w:hyperlink r:id="rId8" w:tgtFrame="_blank" w:history="1">
        <w:r w:rsidRPr="00D926E8">
          <w:rPr>
            <w:rStyle w:val="Lienhypertexte"/>
            <w:rFonts w:ascii="Tenorite" w:eastAsia="Times New Roman" w:hAnsi="Tenorite" w:cstheme="minorHAnsi"/>
            <w:color w:val="EE0000"/>
            <w:sz w:val="20"/>
            <w:szCs w:val="20"/>
            <w:lang w:eastAsia="fr-FR"/>
          </w:rPr>
          <w:t xml:space="preserve">Avis relatif à l’évaluation des substances inscrites au programme de travail 2025-2026 de l’Agence dans le cadre de l’évaluation des substances sous REACH : « </w:t>
        </w:r>
        <w:proofErr w:type="spellStart"/>
        <w:r w:rsidRPr="00D926E8">
          <w:rPr>
            <w:rStyle w:val="Lienhypertexte"/>
            <w:rFonts w:ascii="Tenorite" w:eastAsia="Times New Roman" w:hAnsi="Tenorite" w:cstheme="minorHAnsi"/>
            <w:color w:val="EE0000"/>
            <w:sz w:val="20"/>
            <w:szCs w:val="20"/>
            <w:lang w:eastAsia="fr-FR"/>
          </w:rPr>
          <w:t>Acrylic</w:t>
        </w:r>
        <w:proofErr w:type="spellEnd"/>
        <w:r w:rsidRPr="00D926E8">
          <w:rPr>
            <w:rStyle w:val="Lienhypertexte"/>
            <w:rFonts w:ascii="Tenorite" w:eastAsia="Times New Roman" w:hAnsi="Tenorite" w:cstheme="minorHAnsi"/>
            <w:color w:val="EE0000"/>
            <w:sz w:val="20"/>
            <w:szCs w:val="20"/>
            <w:lang w:eastAsia="fr-FR"/>
          </w:rPr>
          <w:t xml:space="preserve"> </w:t>
        </w:r>
        <w:proofErr w:type="spellStart"/>
        <w:r w:rsidRPr="00D926E8">
          <w:rPr>
            <w:rStyle w:val="Lienhypertexte"/>
            <w:rFonts w:ascii="Tenorite" w:eastAsia="Times New Roman" w:hAnsi="Tenorite" w:cstheme="minorHAnsi"/>
            <w:color w:val="EE0000"/>
            <w:sz w:val="20"/>
            <w:szCs w:val="20"/>
            <w:lang w:eastAsia="fr-FR"/>
          </w:rPr>
          <w:t>acid</w:t>
        </w:r>
        <w:proofErr w:type="spellEnd"/>
        <w:r w:rsidRPr="00D926E8">
          <w:rPr>
            <w:rStyle w:val="Lienhypertexte"/>
            <w:rFonts w:ascii="Tenorite" w:eastAsia="Times New Roman" w:hAnsi="Tenorite" w:cstheme="minorHAnsi"/>
            <w:color w:val="EE0000"/>
            <w:sz w:val="20"/>
            <w:szCs w:val="20"/>
            <w:lang w:eastAsia="fr-FR"/>
          </w:rPr>
          <w:t xml:space="preserve">, </w:t>
        </w:r>
        <w:proofErr w:type="spellStart"/>
        <w:r w:rsidRPr="00D926E8">
          <w:rPr>
            <w:rStyle w:val="Lienhypertexte"/>
            <w:rFonts w:ascii="Tenorite" w:eastAsia="Times New Roman" w:hAnsi="Tenorite" w:cstheme="minorHAnsi"/>
            <w:color w:val="EE0000"/>
            <w:sz w:val="20"/>
            <w:szCs w:val="20"/>
            <w:lang w:eastAsia="fr-FR"/>
          </w:rPr>
          <w:t>monoester</w:t>
        </w:r>
        <w:proofErr w:type="spellEnd"/>
        <w:r w:rsidRPr="00D926E8">
          <w:rPr>
            <w:rStyle w:val="Lienhypertexte"/>
            <w:rFonts w:ascii="Tenorite" w:eastAsia="Times New Roman" w:hAnsi="Tenorite" w:cstheme="minorHAnsi"/>
            <w:color w:val="EE0000"/>
            <w:sz w:val="20"/>
            <w:szCs w:val="20"/>
            <w:lang w:eastAsia="fr-FR"/>
          </w:rPr>
          <w:t xml:space="preserve"> </w:t>
        </w:r>
        <w:proofErr w:type="spellStart"/>
        <w:r w:rsidRPr="00D926E8">
          <w:rPr>
            <w:rStyle w:val="Lienhypertexte"/>
            <w:rFonts w:ascii="Tenorite" w:eastAsia="Times New Roman" w:hAnsi="Tenorite" w:cstheme="minorHAnsi"/>
            <w:color w:val="EE0000"/>
            <w:sz w:val="20"/>
            <w:szCs w:val="20"/>
            <w:lang w:eastAsia="fr-FR"/>
          </w:rPr>
          <w:t>with</w:t>
        </w:r>
        <w:proofErr w:type="spellEnd"/>
        <w:r w:rsidRPr="00D926E8">
          <w:rPr>
            <w:rStyle w:val="Lienhypertexte"/>
            <w:rFonts w:ascii="Tenorite" w:eastAsia="Times New Roman" w:hAnsi="Tenorite" w:cstheme="minorHAnsi"/>
            <w:color w:val="EE0000"/>
            <w:sz w:val="20"/>
            <w:szCs w:val="20"/>
            <w:lang w:eastAsia="fr-FR"/>
          </w:rPr>
          <w:t xml:space="preserve"> propane-1,2-diol » (HPA) (n° CE 247-118-0 ; n° CAS 25584-83-2), « </w:t>
        </w:r>
        <w:proofErr w:type="spellStart"/>
        <w:r w:rsidRPr="00D926E8">
          <w:rPr>
            <w:rStyle w:val="Lienhypertexte"/>
            <w:rFonts w:ascii="Tenorite" w:eastAsia="Times New Roman" w:hAnsi="Tenorite" w:cstheme="minorHAnsi"/>
            <w:color w:val="EE0000"/>
            <w:sz w:val="20"/>
            <w:szCs w:val="20"/>
            <w:lang w:eastAsia="fr-FR"/>
          </w:rPr>
          <w:t>Triethyl</w:t>
        </w:r>
        <w:proofErr w:type="spellEnd"/>
        <w:r w:rsidRPr="00D926E8">
          <w:rPr>
            <w:rStyle w:val="Lienhypertexte"/>
            <w:rFonts w:ascii="Tenorite" w:eastAsia="Times New Roman" w:hAnsi="Tenorite" w:cstheme="minorHAnsi"/>
            <w:color w:val="EE0000"/>
            <w:sz w:val="20"/>
            <w:szCs w:val="20"/>
            <w:lang w:eastAsia="fr-FR"/>
          </w:rPr>
          <w:t xml:space="preserve"> phosphate » (TEP) (n° CE 201-114-5 ; n° CAS 78-40-0) et « Tris(2-ethylhexyl) phosphate » (TEHP) (n° CE 201-116-6 ; n° CAS 78-42-2)</w:t>
        </w:r>
      </w:hyperlink>
      <w:r w:rsidRPr="00D926E8">
        <w:rPr>
          <w:rFonts w:ascii="Tenorite" w:eastAsia="Times New Roman" w:hAnsi="Tenorite" w:cstheme="minorHAnsi"/>
          <w:color w:val="EE0000"/>
          <w:sz w:val="20"/>
          <w:szCs w:val="20"/>
          <w:lang w:eastAsia="fr-FR"/>
        </w:rPr>
        <w:t xml:space="preserve"> – avis signé le 09/04/2026</w:t>
      </w:r>
    </w:p>
    <w:p w14:paraId="545F85BF" w14:textId="77777777" w:rsidR="00610190" w:rsidRPr="00D926E8" w:rsidRDefault="00610190" w:rsidP="00610190">
      <w:pPr>
        <w:shd w:val="clear" w:color="auto" w:fill="FFFFFF"/>
        <w:spacing w:after="0" w:line="240" w:lineRule="auto"/>
        <w:ind w:left="142"/>
        <w:jc w:val="both"/>
        <w:rPr>
          <w:rFonts w:ascii="Tenorite" w:eastAsia="Times New Roman" w:hAnsi="Tenorite" w:cstheme="minorHAnsi"/>
          <w:color w:val="636363"/>
          <w:sz w:val="20"/>
          <w:szCs w:val="20"/>
          <w:lang w:eastAsia="fr-FR"/>
        </w:rPr>
      </w:pPr>
    </w:p>
    <w:p w14:paraId="6F9AC235" w14:textId="77777777" w:rsidR="00610190" w:rsidRDefault="00610190" w:rsidP="00610190">
      <w:pPr>
        <w:shd w:val="clear" w:color="auto" w:fill="FFFFFF"/>
        <w:spacing w:after="0" w:line="240" w:lineRule="auto"/>
        <w:ind w:left="142"/>
        <w:jc w:val="both"/>
        <w:rPr>
          <w:rFonts w:ascii="Tenorite" w:eastAsia="Times New Roman" w:hAnsi="Tenorite" w:cstheme="minorHAnsi"/>
          <w:color w:val="EE0000"/>
          <w:sz w:val="20"/>
          <w:szCs w:val="20"/>
          <w:lang w:eastAsia="fr-FR"/>
        </w:rPr>
      </w:pPr>
      <w:hyperlink r:id="rId9" w:tgtFrame="_blank" w:history="1">
        <w:r w:rsidRPr="00D926E8">
          <w:rPr>
            <w:rStyle w:val="Lienhypertexte"/>
            <w:rFonts w:ascii="Tenorite" w:eastAsia="Times New Roman" w:hAnsi="Tenorite" w:cstheme="minorHAnsi"/>
            <w:color w:val="EE0000"/>
            <w:sz w:val="20"/>
            <w:szCs w:val="20"/>
            <w:lang w:eastAsia="fr-FR"/>
          </w:rPr>
          <w:t>Avis relatif aux travaux d’expertise réalisés en 2025 par l’Agence concernant les activités de classification des substances chimiques relevant des dispositions du règlement (CE) n°1272/2008 relatif à la classification, à l'étiquetage et à l'emballage des substances et des mélanges, dit règlement « CLP »</w:t>
        </w:r>
      </w:hyperlink>
      <w:r w:rsidRPr="00D926E8">
        <w:rPr>
          <w:rFonts w:ascii="Tenorite" w:eastAsia="Times New Roman" w:hAnsi="Tenorite" w:cstheme="minorHAnsi"/>
          <w:color w:val="EE0000"/>
          <w:sz w:val="20"/>
          <w:szCs w:val="20"/>
          <w:lang w:eastAsia="fr-FR"/>
        </w:rPr>
        <w:t xml:space="preserve"> - avis signé le 09/04/2026</w:t>
      </w:r>
    </w:p>
    <w:p w14:paraId="1F195295" w14:textId="77777777" w:rsidR="00610190" w:rsidRPr="00D926E8" w:rsidRDefault="00610190" w:rsidP="00610190">
      <w:pPr>
        <w:shd w:val="clear" w:color="auto" w:fill="FFFFFF"/>
        <w:spacing w:after="0" w:line="240" w:lineRule="auto"/>
        <w:ind w:left="142"/>
        <w:jc w:val="both"/>
        <w:rPr>
          <w:rFonts w:ascii="Tenorite" w:eastAsia="Times New Roman" w:hAnsi="Tenorite" w:cstheme="minorHAnsi"/>
          <w:color w:val="EE0000"/>
          <w:sz w:val="20"/>
          <w:szCs w:val="20"/>
          <w:lang w:eastAsia="fr-FR"/>
        </w:rPr>
      </w:pPr>
    </w:p>
    <w:p w14:paraId="2981E430" w14:textId="77777777" w:rsidR="00610190" w:rsidRDefault="00610190" w:rsidP="00610190">
      <w:pPr>
        <w:shd w:val="clear" w:color="auto" w:fill="FFFFFF"/>
        <w:spacing w:after="0" w:line="240" w:lineRule="auto"/>
        <w:ind w:left="142"/>
        <w:jc w:val="both"/>
        <w:rPr>
          <w:rFonts w:ascii="Tenorite" w:eastAsia="Times New Roman" w:hAnsi="Tenorite" w:cs="Times New Roman"/>
          <w:color w:val="636363"/>
          <w:sz w:val="20"/>
          <w:szCs w:val="20"/>
          <w:lang w:eastAsia="fr-FR"/>
        </w:rPr>
      </w:pPr>
      <w:r w:rsidRPr="00D926E8">
        <w:rPr>
          <w:rFonts w:ascii="Tenorite" w:eastAsia="Times New Roman" w:hAnsi="Tenorite" w:cs="Times New Roman"/>
          <w:b/>
          <w:bCs/>
          <w:color w:val="636363"/>
          <w:sz w:val="20"/>
          <w:szCs w:val="20"/>
          <w:lang w:eastAsia="fr-FR"/>
        </w:rPr>
        <w:t>Note de service </w:t>
      </w:r>
      <w:hyperlink r:id="rId10" w:history="1">
        <w:r w:rsidRPr="00D926E8">
          <w:rPr>
            <w:rFonts w:ascii="Tenorite" w:eastAsia="Times New Roman" w:hAnsi="Tenorite" w:cs="Times New Roman"/>
            <w:color w:val="000091"/>
            <w:sz w:val="20"/>
            <w:szCs w:val="20"/>
            <w:lang w:eastAsia="fr-FR"/>
          </w:rPr>
          <w:t>DGAL/SDSPV/2026-280</w:t>
        </w:r>
      </w:hyperlink>
      <w:r w:rsidRPr="00D926E8">
        <w:rPr>
          <w:rFonts w:ascii="Tenorite" w:eastAsia="Times New Roman" w:hAnsi="Tenorite" w:cs="Times New Roman"/>
          <w:color w:val="636363"/>
          <w:sz w:val="20"/>
          <w:szCs w:val="20"/>
          <w:lang w:eastAsia="fr-FR"/>
        </w:rPr>
        <w:t> du 20-05-2026 - Liste des produits phytopharmaceutiques de biocontrôle, au titre des articles L.253-5 et L.253-7 du code rural et de la pêche maritime. (DGAL)</w:t>
      </w:r>
    </w:p>
    <w:p w14:paraId="771BD8E8" w14:textId="77777777" w:rsidR="00610190" w:rsidRPr="00D926E8" w:rsidRDefault="00610190" w:rsidP="00610190">
      <w:pPr>
        <w:shd w:val="clear" w:color="auto" w:fill="FFFFFF"/>
        <w:spacing w:after="0" w:line="240" w:lineRule="auto"/>
        <w:ind w:left="142"/>
        <w:jc w:val="both"/>
        <w:rPr>
          <w:rFonts w:ascii="Tenorite" w:eastAsia="Times New Roman" w:hAnsi="Tenorite" w:cs="Times New Roman"/>
          <w:color w:val="636363"/>
          <w:sz w:val="20"/>
          <w:szCs w:val="20"/>
          <w:lang w:eastAsia="fr-FR"/>
        </w:rPr>
      </w:pPr>
    </w:p>
    <w:p w14:paraId="025D2376" w14:textId="77777777" w:rsidR="00610190" w:rsidRDefault="00610190" w:rsidP="00610190">
      <w:pPr>
        <w:shd w:val="clear" w:color="auto" w:fill="FFFFFF"/>
        <w:spacing w:after="0" w:line="240" w:lineRule="auto"/>
        <w:ind w:left="142"/>
        <w:jc w:val="both"/>
        <w:rPr>
          <w:rFonts w:ascii="Tenorite" w:eastAsia="Times New Roman" w:hAnsi="Tenorite" w:cs="Times New Roman"/>
          <w:color w:val="636363"/>
          <w:sz w:val="20"/>
          <w:szCs w:val="20"/>
          <w:lang w:eastAsia="fr-FR"/>
        </w:rPr>
      </w:pPr>
      <w:r w:rsidRPr="00D926E8">
        <w:rPr>
          <w:rFonts w:ascii="Tenorite" w:eastAsia="Times New Roman" w:hAnsi="Tenorite" w:cs="Times New Roman"/>
          <w:b/>
          <w:bCs/>
          <w:color w:val="636363"/>
          <w:sz w:val="20"/>
          <w:szCs w:val="20"/>
          <w:lang w:eastAsia="fr-FR"/>
        </w:rPr>
        <w:t>Note de service </w:t>
      </w:r>
      <w:hyperlink r:id="rId11" w:history="1">
        <w:r w:rsidRPr="00D926E8">
          <w:rPr>
            <w:rFonts w:ascii="Tenorite" w:eastAsia="Times New Roman" w:hAnsi="Tenorite" w:cs="Times New Roman"/>
            <w:color w:val="000091"/>
            <w:sz w:val="20"/>
            <w:szCs w:val="20"/>
            <w:lang w:eastAsia="fr-FR"/>
          </w:rPr>
          <w:t>DGAL/SDSPV/2026-287</w:t>
        </w:r>
      </w:hyperlink>
      <w:r w:rsidRPr="00D926E8">
        <w:rPr>
          <w:rFonts w:ascii="Tenorite" w:eastAsia="Times New Roman" w:hAnsi="Tenorite" w:cs="Times New Roman"/>
          <w:color w:val="636363"/>
          <w:sz w:val="20"/>
          <w:szCs w:val="20"/>
          <w:lang w:eastAsia="fr-FR"/>
        </w:rPr>
        <w:t> du 26-05-2026 - Mise en œuvre du suivi des effets non intentionnels relatifs aux résistances des bioagresseurs à des substances actives ou des familles de substances de produits phytopharmaceutiques pour 2026 (DGAL)</w:t>
      </w:r>
    </w:p>
    <w:p w14:paraId="4A261DFD" w14:textId="77777777" w:rsidR="00610190" w:rsidRPr="00D926E8" w:rsidRDefault="00610190" w:rsidP="00610190">
      <w:pPr>
        <w:shd w:val="clear" w:color="auto" w:fill="FFFFFF"/>
        <w:spacing w:after="0" w:line="240" w:lineRule="auto"/>
        <w:ind w:left="142"/>
        <w:jc w:val="both"/>
        <w:rPr>
          <w:rFonts w:ascii="Tenorite" w:eastAsia="Times New Roman" w:hAnsi="Tenorite" w:cs="Times New Roman"/>
          <w:color w:val="636363"/>
          <w:sz w:val="20"/>
          <w:szCs w:val="20"/>
          <w:lang w:eastAsia="fr-FR"/>
        </w:rPr>
      </w:pPr>
    </w:p>
    <w:p w14:paraId="33594EA0" w14:textId="77777777" w:rsidR="00610190" w:rsidRPr="00D926E8" w:rsidRDefault="00610190" w:rsidP="00610190">
      <w:pPr>
        <w:shd w:val="clear" w:color="auto" w:fill="FFFFFF"/>
        <w:spacing w:after="0" w:line="240" w:lineRule="auto"/>
        <w:ind w:left="142"/>
        <w:jc w:val="both"/>
        <w:rPr>
          <w:rFonts w:ascii="Tenorite" w:hAnsi="Tenorite"/>
          <w:sz w:val="20"/>
          <w:szCs w:val="20"/>
        </w:rPr>
      </w:pPr>
      <w:hyperlink r:id="rId12" w:history="1">
        <w:r w:rsidRPr="00D926E8">
          <w:rPr>
            <w:rStyle w:val="Lienhypertexte"/>
            <w:rFonts w:ascii="Tenorite" w:hAnsi="Tenorite"/>
            <w:sz w:val="20"/>
            <w:szCs w:val="20"/>
          </w:rPr>
          <w:t>Décision</w:t>
        </w:r>
      </w:hyperlink>
      <w:r w:rsidRPr="00D926E8">
        <w:rPr>
          <w:rFonts w:ascii="Tenorite" w:hAnsi="Tenorite"/>
          <w:sz w:val="20"/>
          <w:szCs w:val="20"/>
        </w:rPr>
        <w:t xml:space="preserve"> d’exécution (UE) 2026/1089 de la Commission du 20 mai 2026 reportant la date d’expiration de l’approbation de la </w:t>
      </w:r>
      <w:proofErr w:type="spellStart"/>
      <w:r w:rsidRPr="00D926E8">
        <w:rPr>
          <w:rFonts w:ascii="Tenorite" w:hAnsi="Tenorite"/>
          <w:sz w:val="20"/>
          <w:szCs w:val="20"/>
        </w:rPr>
        <w:t>médétomidine</w:t>
      </w:r>
      <w:proofErr w:type="spellEnd"/>
      <w:r w:rsidRPr="00D926E8">
        <w:rPr>
          <w:rFonts w:ascii="Tenorite" w:hAnsi="Tenorite"/>
          <w:sz w:val="20"/>
          <w:szCs w:val="20"/>
        </w:rPr>
        <w:t xml:space="preserve"> en vue de son utilisation dans les produits biocides relevant du type de produits 21, conformément au règlement (UE) no 528/2012 du Parlement européen et du Conseil (JOUE 22/05/2026)</w:t>
      </w:r>
    </w:p>
    <w:p w14:paraId="042A2732" w14:textId="77777777" w:rsidR="00610190" w:rsidRPr="00D926E8" w:rsidRDefault="00610190" w:rsidP="00610190">
      <w:pPr>
        <w:shd w:val="clear" w:color="auto" w:fill="FFFFFF"/>
        <w:spacing w:after="0" w:line="240" w:lineRule="auto"/>
        <w:ind w:left="142"/>
        <w:jc w:val="both"/>
        <w:rPr>
          <w:rFonts w:ascii="Tenorite" w:hAnsi="Tenorite"/>
          <w:sz w:val="20"/>
          <w:szCs w:val="20"/>
        </w:rPr>
      </w:pPr>
    </w:p>
    <w:p w14:paraId="602E5F30" w14:textId="77777777" w:rsidR="00610190" w:rsidRPr="00D926E8" w:rsidRDefault="00610190" w:rsidP="00610190">
      <w:pPr>
        <w:shd w:val="clear" w:color="auto" w:fill="FFFFFF"/>
        <w:spacing w:after="0" w:line="240" w:lineRule="auto"/>
        <w:ind w:left="142"/>
        <w:jc w:val="both"/>
        <w:rPr>
          <w:rFonts w:ascii="Tenorite" w:hAnsi="Tenorite"/>
          <w:sz w:val="20"/>
          <w:szCs w:val="20"/>
        </w:rPr>
      </w:pPr>
      <w:hyperlink r:id="rId13" w:history="1">
        <w:r w:rsidRPr="00D926E8">
          <w:rPr>
            <w:rStyle w:val="Lienhypertexte"/>
            <w:rFonts w:ascii="Tenorite" w:hAnsi="Tenorite"/>
            <w:sz w:val="20"/>
            <w:szCs w:val="20"/>
          </w:rPr>
          <w:t>Règlement</w:t>
        </w:r>
      </w:hyperlink>
      <w:r w:rsidRPr="00D926E8">
        <w:rPr>
          <w:rFonts w:ascii="Tenorite" w:hAnsi="Tenorite"/>
          <w:sz w:val="20"/>
          <w:szCs w:val="20"/>
        </w:rPr>
        <w:t xml:space="preserve"> (UE) 2026/1165 du Parlement européen et du Conseil du 20 mai 2026 modifiant le règlement (UE) n° 528/2012 en ce qui concerne la prolongation de certaines périodes de protection des données (JOUE 26/05/2026)</w:t>
      </w:r>
    </w:p>
    <w:p w14:paraId="6E068CDA" w14:textId="77777777" w:rsidR="00610190" w:rsidRPr="00D926E8" w:rsidRDefault="00610190" w:rsidP="00610190">
      <w:pPr>
        <w:shd w:val="clear" w:color="auto" w:fill="FFFFFF"/>
        <w:spacing w:after="0" w:line="240" w:lineRule="auto"/>
        <w:ind w:left="142"/>
        <w:jc w:val="both"/>
        <w:rPr>
          <w:rFonts w:ascii="Tenorite" w:hAnsi="Tenorite"/>
          <w:sz w:val="20"/>
          <w:szCs w:val="20"/>
        </w:rPr>
      </w:pPr>
    </w:p>
    <w:p w14:paraId="0C566DED" w14:textId="77777777" w:rsidR="00610190" w:rsidRDefault="00610190" w:rsidP="00610190">
      <w:pPr>
        <w:shd w:val="clear" w:color="auto" w:fill="FFFFFF"/>
        <w:spacing w:after="0" w:line="240" w:lineRule="auto"/>
        <w:ind w:left="142"/>
        <w:jc w:val="both"/>
        <w:rPr>
          <w:rFonts w:ascii="Tenorite" w:hAnsi="Tenorite"/>
          <w:sz w:val="20"/>
          <w:szCs w:val="20"/>
        </w:rPr>
      </w:pPr>
      <w:hyperlink r:id="rId14" w:history="1">
        <w:r w:rsidRPr="00D926E8">
          <w:rPr>
            <w:rStyle w:val="Lienhypertexte"/>
            <w:rFonts w:ascii="Tenorite" w:hAnsi="Tenorite"/>
            <w:sz w:val="20"/>
            <w:szCs w:val="20"/>
          </w:rPr>
          <w:t>Décision</w:t>
        </w:r>
      </w:hyperlink>
      <w:r w:rsidRPr="00D926E8">
        <w:rPr>
          <w:rFonts w:ascii="Tenorite" w:hAnsi="Tenorite"/>
          <w:sz w:val="20"/>
          <w:szCs w:val="20"/>
        </w:rPr>
        <w:t xml:space="preserve"> d’exécution (UE) 2026/1103 de la Commission du 22 mai 2026 reportant la date d’expiration de l’approbation du PHMB (</w:t>
      </w:r>
      <w:proofErr w:type="gramStart"/>
      <w:r w:rsidRPr="00D926E8">
        <w:rPr>
          <w:rFonts w:ascii="Tenorite" w:hAnsi="Tenorite"/>
          <w:sz w:val="20"/>
          <w:szCs w:val="20"/>
        </w:rPr>
        <w:t>1415;</w:t>
      </w:r>
      <w:proofErr w:type="gramEnd"/>
      <w:r w:rsidRPr="00D926E8">
        <w:rPr>
          <w:rFonts w:ascii="Tenorite" w:hAnsi="Tenorite"/>
          <w:sz w:val="20"/>
          <w:szCs w:val="20"/>
        </w:rPr>
        <w:t xml:space="preserve"> 4.7) en vue de son utilisation dans les produits biocides relevant des types de produits 2 et 4, conformément au règlement (UE) no 528/2012 du Parlement européen et du Conseil (JOUE 26/05/2026)</w:t>
      </w:r>
    </w:p>
    <w:p w14:paraId="6AC3D1C5" w14:textId="77777777" w:rsidR="00610190" w:rsidRPr="00D926E8" w:rsidRDefault="00610190" w:rsidP="00610190">
      <w:pPr>
        <w:shd w:val="clear" w:color="auto" w:fill="FFFFFF"/>
        <w:spacing w:after="0" w:line="240" w:lineRule="auto"/>
        <w:ind w:left="142"/>
        <w:jc w:val="both"/>
        <w:rPr>
          <w:rFonts w:ascii="Tenorite" w:hAnsi="Tenorite"/>
          <w:sz w:val="20"/>
          <w:szCs w:val="20"/>
        </w:rPr>
      </w:pPr>
    </w:p>
    <w:p w14:paraId="11D942F4" w14:textId="77777777" w:rsidR="006E453B" w:rsidRDefault="00610190" w:rsidP="00610190">
      <w:pPr>
        <w:shd w:val="clear" w:color="auto" w:fill="FFFFFF"/>
        <w:spacing w:after="0" w:line="240" w:lineRule="auto"/>
        <w:ind w:left="142"/>
        <w:jc w:val="both"/>
        <w:rPr>
          <w:rFonts w:ascii="Tenorite" w:hAnsi="Tenorite"/>
          <w:sz w:val="20"/>
          <w:szCs w:val="20"/>
        </w:rPr>
      </w:pPr>
      <w:hyperlink r:id="rId15" w:history="1">
        <w:r w:rsidRPr="00D926E8">
          <w:rPr>
            <w:rStyle w:val="Lienhypertexte"/>
            <w:rFonts w:ascii="Tenorite" w:hAnsi="Tenorite"/>
            <w:sz w:val="20"/>
            <w:szCs w:val="20"/>
          </w:rPr>
          <w:t>Décision</w:t>
        </w:r>
      </w:hyperlink>
      <w:r w:rsidRPr="00D926E8">
        <w:rPr>
          <w:rFonts w:ascii="Tenorite" w:hAnsi="Tenorite"/>
          <w:sz w:val="20"/>
          <w:szCs w:val="20"/>
        </w:rPr>
        <w:t xml:space="preserve"> d’exécution (UE) 2026/1109 de la Commission du 22 mai 2026 reportant la date d’expiration de l’approbation du glutaraldéhyde en vue de son utilisation dans les produits biocides relevant des types de produits 2, 3, 4, 6, 11 et 12, conformément au règlement (UE) no 528/2012 du Parlement européen et du Conseil (JOUE 26/05/2026)</w:t>
      </w:r>
    </w:p>
    <w:p w14:paraId="75536701" w14:textId="56EA344D" w:rsidR="00610190" w:rsidRPr="00D926E8" w:rsidRDefault="00610190" w:rsidP="00610190">
      <w:pPr>
        <w:shd w:val="clear" w:color="auto" w:fill="FFFFFF"/>
        <w:spacing w:after="0" w:line="240" w:lineRule="auto"/>
        <w:ind w:left="142"/>
        <w:jc w:val="both"/>
        <w:rPr>
          <w:rFonts w:ascii="Tenorite" w:hAnsi="Tenorite"/>
          <w:sz w:val="20"/>
          <w:szCs w:val="20"/>
        </w:rPr>
      </w:pPr>
    </w:p>
    <w:p w14:paraId="1BA3758C" w14:textId="77777777" w:rsidR="00610190" w:rsidRPr="00D926E8" w:rsidRDefault="00610190" w:rsidP="00610190">
      <w:pPr>
        <w:shd w:val="clear" w:color="auto" w:fill="FFFFFF"/>
        <w:spacing w:after="0" w:line="240" w:lineRule="auto"/>
        <w:ind w:left="142"/>
        <w:jc w:val="both"/>
        <w:rPr>
          <w:rFonts w:ascii="Tenorite" w:hAnsi="Tenorite"/>
          <w:sz w:val="20"/>
          <w:szCs w:val="20"/>
        </w:rPr>
      </w:pPr>
      <w:hyperlink r:id="rId16" w:history="1">
        <w:r w:rsidRPr="00D926E8">
          <w:rPr>
            <w:rStyle w:val="Lienhypertexte"/>
            <w:rFonts w:ascii="Tenorite" w:hAnsi="Tenorite"/>
            <w:sz w:val="20"/>
            <w:szCs w:val="20"/>
          </w:rPr>
          <w:t>Décision</w:t>
        </w:r>
      </w:hyperlink>
      <w:r w:rsidRPr="00D926E8">
        <w:rPr>
          <w:rFonts w:ascii="Tenorite" w:hAnsi="Tenorite"/>
          <w:sz w:val="20"/>
          <w:szCs w:val="20"/>
        </w:rPr>
        <w:t xml:space="preserve"> d’exécution (UE) 2026/1111 de la Commission du 22 mai 2026 reportant la date d’expiration de l’approbation du tétraborate de </w:t>
      </w:r>
      <w:proofErr w:type="spellStart"/>
      <w:r w:rsidRPr="00D926E8">
        <w:rPr>
          <w:rFonts w:ascii="Tenorite" w:hAnsi="Tenorite"/>
          <w:sz w:val="20"/>
          <w:szCs w:val="20"/>
        </w:rPr>
        <w:t>disodium</w:t>
      </w:r>
      <w:proofErr w:type="spellEnd"/>
      <w:r w:rsidRPr="00D926E8">
        <w:rPr>
          <w:rFonts w:ascii="Tenorite" w:hAnsi="Tenorite"/>
          <w:sz w:val="20"/>
          <w:szCs w:val="20"/>
        </w:rPr>
        <w:t xml:space="preserve"> destiné à être utilisé dans des produits biocides relevant du type de produits 8 en vertu du règlement (UE) no 528/2012 du Parlement européen et du Conseil (JOUE 26/05/2026)</w:t>
      </w:r>
    </w:p>
    <w:p w14:paraId="68E129CA" w14:textId="77777777" w:rsidR="00610190" w:rsidRPr="00D926E8" w:rsidRDefault="00610190" w:rsidP="00610190">
      <w:pPr>
        <w:shd w:val="clear" w:color="auto" w:fill="FFFFFF"/>
        <w:spacing w:after="0" w:line="240" w:lineRule="auto"/>
        <w:ind w:left="142"/>
        <w:jc w:val="both"/>
        <w:rPr>
          <w:rFonts w:ascii="Tenorite" w:hAnsi="Tenorite"/>
          <w:sz w:val="20"/>
          <w:szCs w:val="20"/>
        </w:rPr>
      </w:pPr>
    </w:p>
    <w:p w14:paraId="210D117D" w14:textId="77777777" w:rsidR="00610190" w:rsidRDefault="00610190" w:rsidP="00610190">
      <w:pPr>
        <w:shd w:val="clear" w:color="auto" w:fill="FFFFFF"/>
        <w:spacing w:after="0" w:line="240" w:lineRule="auto"/>
        <w:ind w:left="142"/>
        <w:jc w:val="both"/>
        <w:rPr>
          <w:rFonts w:ascii="Tenorite" w:hAnsi="Tenorite"/>
          <w:sz w:val="20"/>
          <w:szCs w:val="20"/>
        </w:rPr>
      </w:pPr>
      <w:hyperlink r:id="rId17" w:history="1">
        <w:r w:rsidRPr="00D926E8">
          <w:rPr>
            <w:rStyle w:val="Lienhypertexte"/>
            <w:rFonts w:ascii="Tenorite" w:hAnsi="Tenorite"/>
            <w:sz w:val="20"/>
            <w:szCs w:val="20"/>
          </w:rPr>
          <w:t>Décision</w:t>
        </w:r>
      </w:hyperlink>
      <w:r w:rsidRPr="00D926E8">
        <w:rPr>
          <w:rFonts w:ascii="Tenorite" w:hAnsi="Tenorite"/>
          <w:sz w:val="20"/>
          <w:szCs w:val="20"/>
        </w:rPr>
        <w:t xml:space="preserve"> d’exécution (UE) 2026/1112 de la Commission du 22 mai 2026 refusant le renouvellement de l’approbation de la cyperméthrine en vue de son utilisation dans les produits biocides relevant du type de produits 8, conformément au règlement (UE) no 528/2012 du Parlement européen et du Conseil (JOUE 26/05/2026)</w:t>
      </w:r>
    </w:p>
    <w:p w14:paraId="0D64997E" w14:textId="36944A74" w:rsidR="00610190" w:rsidRDefault="00610190" w:rsidP="00610190">
      <w:pPr>
        <w:shd w:val="clear" w:color="auto" w:fill="FFFFFF"/>
        <w:spacing w:after="0" w:line="240" w:lineRule="auto"/>
        <w:ind w:left="142"/>
        <w:jc w:val="both"/>
        <w:rPr>
          <w:rFonts w:ascii="Tenorite" w:hAnsi="Tenorite"/>
          <w:sz w:val="20"/>
          <w:szCs w:val="20"/>
        </w:rPr>
      </w:pPr>
      <w:r w:rsidRPr="00D926E8">
        <w:rPr>
          <w:rFonts w:ascii="Tenorite" w:hAnsi="Tenorite"/>
          <w:sz w:val="20"/>
          <w:szCs w:val="20"/>
        </w:rPr>
        <w:br/>
      </w:r>
      <w:hyperlink r:id="rId18" w:history="1">
        <w:r w:rsidRPr="00D926E8">
          <w:rPr>
            <w:rStyle w:val="Lienhypertexte"/>
            <w:rFonts w:ascii="Tenorite" w:hAnsi="Tenorite"/>
            <w:sz w:val="20"/>
            <w:szCs w:val="20"/>
          </w:rPr>
          <w:t>Décision</w:t>
        </w:r>
      </w:hyperlink>
      <w:r w:rsidRPr="00D926E8">
        <w:rPr>
          <w:rFonts w:ascii="Tenorite" w:hAnsi="Tenorite"/>
          <w:sz w:val="20"/>
          <w:szCs w:val="20"/>
        </w:rPr>
        <w:t xml:space="preserve"> d’exécution (UE) 2026/1128 de la Commission du 22 mai 2026 reportant la date d’expiration de l’approbation de l’acide borique destiné à être utilisé dans des produits biocides relevant du type de produits 8 en vertu du règlement (UE) no 528/2012 du Parlement européen et du Conseil (JOUE 26/05/2026)</w:t>
      </w:r>
    </w:p>
    <w:p w14:paraId="15794C9B" w14:textId="77777777" w:rsidR="00610190" w:rsidRDefault="00610190" w:rsidP="00610190">
      <w:pPr>
        <w:shd w:val="clear" w:color="auto" w:fill="FFFFFF"/>
        <w:spacing w:after="0" w:line="240" w:lineRule="auto"/>
        <w:ind w:left="142"/>
        <w:jc w:val="both"/>
        <w:rPr>
          <w:rFonts w:ascii="Tenorite" w:hAnsi="Tenorite"/>
          <w:sz w:val="20"/>
          <w:szCs w:val="20"/>
        </w:rPr>
      </w:pPr>
      <w:hyperlink r:id="rId19" w:history="1">
        <w:r w:rsidRPr="00D926E8">
          <w:rPr>
            <w:rStyle w:val="Lienhypertexte"/>
            <w:rFonts w:ascii="Tenorite" w:hAnsi="Tenorite"/>
            <w:sz w:val="20"/>
            <w:szCs w:val="20"/>
          </w:rPr>
          <w:t>Décision</w:t>
        </w:r>
      </w:hyperlink>
      <w:r w:rsidRPr="00D926E8">
        <w:rPr>
          <w:rFonts w:ascii="Tenorite" w:hAnsi="Tenorite"/>
          <w:sz w:val="20"/>
          <w:szCs w:val="20"/>
        </w:rPr>
        <w:t xml:space="preserve"> d’exécution (UE) 2026/1129 de la Commission du 22 mai 2026 reportant la date d’expiration de l’approbation de l’IPBC destiné à être utilisé dans des produits biocides relevant du type de produits 8 en vertu du règlement (UE) no 528/2012 du Parlement européen et du Conseil (JOUE 26/05/2026)</w:t>
      </w:r>
    </w:p>
    <w:p w14:paraId="697C988B" w14:textId="77777777" w:rsidR="00610190" w:rsidRPr="00D926E8" w:rsidRDefault="00610190" w:rsidP="00610190">
      <w:pPr>
        <w:shd w:val="clear" w:color="auto" w:fill="FFFFFF"/>
        <w:spacing w:after="0" w:line="240" w:lineRule="auto"/>
        <w:ind w:left="142"/>
        <w:jc w:val="both"/>
        <w:rPr>
          <w:rFonts w:ascii="Tenorite" w:hAnsi="Tenorite"/>
          <w:sz w:val="20"/>
          <w:szCs w:val="20"/>
        </w:rPr>
      </w:pPr>
    </w:p>
    <w:p w14:paraId="6BF4FC36" w14:textId="77777777" w:rsidR="00610190" w:rsidRDefault="00610190" w:rsidP="00610190">
      <w:pPr>
        <w:shd w:val="clear" w:color="auto" w:fill="FFFFFF"/>
        <w:spacing w:after="0" w:line="240" w:lineRule="auto"/>
        <w:ind w:left="142"/>
        <w:jc w:val="both"/>
        <w:rPr>
          <w:rFonts w:ascii="Tenorite" w:hAnsi="Tenorite"/>
          <w:sz w:val="20"/>
          <w:szCs w:val="20"/>
        </w:rPr>
      </w:pPr>
      <w:hyperlink r:id="rId20" w:history="1">
        <w:r w:rsidRPr="00D926E8">
          <w:rPr>
            <w:rStyle w:val="Lienhypertexte"/>
            <w:rFonts w:ascii="Tenorite" w:hAnsi="Tenorite"/>
            <w:sz w:val="20"/>
            <w:szCs w:val="20"/>
          </w:rPr>
          <w:t>Règlement</w:t>
        </w:r>
      </w:hyperlink>
      <w:r w:rsidRPr="00D926E8">
        <w:rPr>
          <w:rFonts w:ascii="Tenorite" w:hAnsi="Tenorite"/>
          <w:sz w:val="20"/>
          <w:szCs w:val="20"/>
        </w:rPr>
        <w:t xml:space="preserve"> (UE) 2026/1120 de la Commission du 26 mai 2026 modifiant l’annexe III du règlement (CE) no 1107/2009 du Parlement européen et du Conseil en ajoutant douze </w:t>
      </w:r>
      <w:proofErr w:type="spellStart"/>
      <w:r w:rsidRPr="00D926E8">
        <w:rPr>
          <w:rFonts w:ascii="Tenorite" w:hAnsi="Tenorite"/>
          <w:sz w:val="20"/>
          <w:szCs w:val="20"/>
        </w:rPr>
        <w:t>coformulants</w:t>
      </w:r>
      <w:proofErr w:type="spellEnd"/>
      <w:r w:rsidRPr="00D926E8">
        <w:rPr>
          <w:rFonts w:ascii="Tenorite" w:hAnsi="Tenorite"/>
          <w:sz w:val="20"/>
          <w:szCs w:val="20"/>
        </w:rPr>
        <w:t xml:space="preserve"> ne pouvant pas entrer dans la composition des produits phytopharmaceutiques (JOUE 27/05/2026)</w:t>
      </w:r>
    </w:p>
    <w:p w14:paraId="307C9D27" w14:textId="77777777" w:rsidR="00610190" w:rsidRPr="00D926E8" w:rsidRDefault="00610190" w:rsidP="00610190">
      <w:pPr>
        <w:shd w:val="clear" w:color="auto" w:fill="FFFFFF"/>
        <w:spacing w:after="0" w:line="240" w:lineRule="auto"/>
        <w:ind w:left="142"/>
        <w:jc w:val="both"/>
        <w:rPr>
          <w:rFonts w:ascii="Tenorite" w:hAnsi="Tenorite"/>
          <w:sz w:val="20"/>
          <w:szCs w:val="20"/>
        </w:rPr>
      </w:pPr>
    </w:p>
    <w:p w14:paraId="37A5AC9F" w14:textId="77777777" w:rsidR="00610190" w:rsidRDefault="00610190" w:rsidP="00610190">
      <w:pPr>
        <w:shd w:val="clear" w:color="auto" w:fill="FFFFFF"/>
        <w:spacing w:after="0" w:line="240" w:lineRule="auto"/>
        <w:ind w:left="142"/>
        <w:jc w:val="both"/>
        <w:rPr>
          <w:rFonts w:ascii="Tenorite" w:hAnsi="Tenorite"/>
          <w:sz w:val="20"/>
          <w:szCs w:val="20"/>
        </w:rPr>
      </w:pPr>
      <w:hyperlink r:id="rId21" w:history="1">
        <w:r w:rsidRPr="00D926E8">
          <w:rPr>
            <w:rStyle w:val="Lienhypertexte"/>
            <w:rFonts w:ascii="Tenorite" w:hAnsi="Tenorite"/>
            <w:sz w:val="20"/>
            <w:szCs w:val="20"/>
          </w:rPr>
          <w:t>Règlem</w:t>
        </w:r>
        <w:r w:rsidRPr="00D926E8">
          <w:rPr>
            <w:rStyle w:val="Lienhypertexte"/>
            <w:rFonts w:ascii="Tenorite" w:hAnsi="Tenorite"/>
            <w:sz w:val="20"/>
            <w:szCs w:val="20"/>
          </w:rPr>
          <w:t>e</w:t>
        </w:r>
        <w:r w:rsidRPr="00D926E8">
          <w:rPr>
            <w:rStyle w:val="Lienhypertexte"/>
            <w:rFonts w:ascii="Tenorite" w:hAnsi="Tenorite"/>
            <w:sz w:val="20"/>
            <w:szCs w:val="20"/>
          </w:rPr>
          <w:t>nt</w:t>
        </w:r>
      </w:hyperlink>
      <w:r w:rsidRPr="00D926E8">
        <w:rPr>
          <w:rFonts w:ascii="Tenorite" w:hAnsi="Tenorite"/>
          <w:sz w:val="20"/>
          <w:szCs w:val="20"/>
        </w:rPr>
        <w:t xml:space="preserve"> (UE) 2026/1123 de la Commission du 26 mai 2026 établissant des exigences en matière d’étiquetage des produits phytopharmaceutiques et abrogeant le règlement (UE) no 547/2011 (JOUE 27/05/2026)</w:t>
      </w:r>
    </w:p>
    <w:p w14:paraId="69DC263A" w14:textId="77777777" w:rsidR="00610190" w:rsidRPr="00D926E8" w:rsidRDefault="00610190" w:rsidP="00610190">
      <w:pPr>
        <w:shd w:val="clear" w:color="auto" w:fill="FFFFFF"/>
        <w:spacing w:after="0" w:line="240" w:lineRule="auto"/>
        <w:ind w:left="142"/>
        <w:jc w:val="both"/>
        <w:rPr>
          <w:rFonts w:ascii="Tenorite" w:hAnsi="Tenorite"/>
          <w:sz w:val="20"/>
          <w:szCs w:val="20"/>
        </w:rPr>
      </w:pPr>
    </w:p>
    <w:p w14:paraId="3DB37070" w14:textId="77777777" w:rsidR="00610190" w:rsidRDefault="00610190" w:rsidP="00610190">
      <w:pPr>
        <w:shd w:val="clear" w:color="auto" w:fill="FFFFFF"/>
        <w:spacing w:after="0" w:line="240" w:lineRule="auto"/>
        <w:ind w:left="142"/>
        <w:jc w:val="both"/>
        <w:rPr>
          <w:rFonts w:ascii="Tenorite" w:hAnsi="Tenorite"/>
          <w:sz w:val="20"/>
          <w:szCs w:val="20"/>
        </w:rPr>
      </w:pPr>
      <w:hyperlink r:id="rId22" w:history="1">
        <w:r w:rsidRPr="00D926E8">
          <w:rPr>
            <w:rStyle w:val="Lienhypertexte"/>
            <w:rFonts w:ascii="Tenorite" w:hAnsi="Tenorite"/>
            <w:sz w:val="20"/>
            <w:szCs w:val="20"/>
          </w:rPr>
          <w:t>Règlement</w:t>
        </w:r>
      </w:hyperlink>
      <w:r w:rsidRPr="00D926E8">
        <w:rPr>
          <w:rFonts w:ascii="Tenorite" w:hAnsi="Tenorite"/>
          <w:sz w:val="20"/>
          <w:szCs w:val="20"/>
        </w:rPr>
        <w:t xml:space="preserve"> d’exécution (UE) 2026/1114 de la Commission du 26 mai 2026 modifiant le règlement d’exécution (UE) 2022/2252 octroyant une autorisation de l’Union pour la famille de produits biocides </w:t>
      </w:r>
      <w:proofErr w:type="spellStart"/>
      <w:r w:rsidRPr="00D926E8">
        <w:rPr>
          <w:rFonts w:ascii="Tenorite" w:hAnsi="Tenorite"/>
          <w:sz w:val="20"/>
          <w:szCs w:val="20"/>
        </w:rPr>
        <w:t>Brenntag</w:t>
      </w:r>
      <w:proofErr w:type="spellEnd"/>
      <w:r w:rsidRPr="00D926E8">
        <w:rPr>
          <w:rFonts w:ascii="Tenorite" w:hAnsi="Tenorite"/>
          <w:sz w:val="20"/>
          <w:szCs w:val="20"/>
        </w:rPr>
        <w:t xml:space="preserve"> </w:t>
      </w:r>
      <w:proofErr w:type="spellStart"/>
      <w:r w:rsidRPr="00D926E8">
        <w:rPr>
          <w:rFonts w:ascii="Tenorite" w:hAnsi="Tenorite"/>
          <w:sz w:val="20"/>
          <w:szCs w:val="20"/>
        </w:rPr>
        <w:t>GmbH</w:t>
      </w:r>
      <w:proofErr w:type="spellEnd"/>
      <w:r w:rsidRPr="00D926E8">
        <w:rPr>
          <w:rFonts w:ascii="Tenorite" w:hAnsi="Tenorite"/>
          <w:sz w:val="20"/>
          <w:szCs w:val="20"/>
        </w:rPr>
        <w:t xml:space="preserve"> Propan-2-ol Product Family en ce qui concerne des modifications administratives (JOUE 27/05/2026)</w:t>
      </w:r>
    </w:p>
    <w:p w14:paraId="27ED4BB6" w14:textId="77777777" w:rsidR="00610190" w:rsidRPr="00D926E8" w:rsidRDefault="00610190" w:rsidP="00610190">
      <w:pPr>
        <w:shd w:val="clear" w:color="auto" w:fill="FFFFFF"/>
        <w:spacing w:after="0" w:line="240" w:lineRule="auto"/>
        <w:ind w:left="142"/>
        <w:jc w:val="both"/>
        <w:rPr>
          <w:rFonts w:ascii="Tenorite" w:hAnsi="Tenorite"/>
          <w:sz w:val="20"/>
          <w:szCs w:val="20"/>
        </w:rPr>
      </w:pPr>
    </w:p>
    <w:p w14:paraId="557E427C" w14:textId="77777777" w:rsidR="00610190" w:rsidRPr="00D926E8" w:rsidRDefault="00610190" w:rsidP="00610190">
      <w:pPr>
        <w:shd w:val="clear" w:color="auto" w:fill="FFFFFF"/>
        <w:spacing w:after="0" w:line="240" w:lineRule="auto"/>
        <w:ind w:left="142"/>
        <w:jc w:val="both"/>
        <w:rPr>
          <w:rFonts w:ascii="Tenorite" w:hAnsi="Tenorite"/>
          <w:sz w:val="20"/>
          <w:szCs w:val="20"/>
        </w:rPr>
      </w:pPr>
      <w:hyperlink r:id="rId23" w:history="1">
        <w:r w:rsidRPr="00D926E8">
          <w:rPr>
            <w:rStyle w:val="Lienhypertexte"/>
            <w:rFonts w:ascii="Tenorite" w:hAnsi="Tenorite"/>
            <w:sz w:val="20"/>
            <w:szCs w:val="20"/>
          </w:rPr>
          <w:t>Règlement</w:t>
        </w:r>
      </w:hyperlink>
      <w:r w:rsidRPr="00D926E8">
        <w:rPr>
          <w:rFonts w:ascii="Tenorite" w:hAnsi="Tenorite"/>
          <w:sz w:val="20"/>
          <w:szCs w:val="20"/>
        </w:rPr>
        <w:t xml:space="preserve"> d’exécution (UE) 2026/1154 de la Commission du 29 mai 2026 modifiant le règlement d’exécution (UE) no 540/2011 en ce qui concerne la suppression du </w:t>
      </w:r>
      <w:proofErr w:type="spellStart"/>
      <w:r w:rsidRPr="00D926E8">
        <w:rPr>
          <w:rFonts w:ascii="Tenorite" w:hAnsi="Tenorite"/>
          <w:sz w:val="20"/>
          <w:szCs w:val="20"/>
        </w:rPr>
        <w:t>méthoxyfénozide</w:t>
      </w:r>
      <w:proofErr w:type="spellEnd"/>
      <w:r w:rsidRPr="00D926E8">
        <w:rPr>
          <w:rFonts w:ascii="Tenorite" w:hAnsi="Tenorite"/>
          <w:sz w:val="20"/>
          <w:szCs w:val="20"/>
        </w:rPr>
        <w:t xml:space="preserve">, du </w:t>
      </w:r>
      <w:proofErr w:type="spellStart"/>
      <w:r w:rsidRPr="00D926E8">
        <w:rPr>
          <w:rFonts w:ascii="Tenorite" w:hAnsi="Tenorite"/>
          <w:sz w:val="20"/>
          <w:szCs w:val="20"/>
        </w:rPr>
        <w:t>penthiopyrade</w:t>
      </w:r>
      <w:proofErr w:type="spellEnd"/>
      <w:r w:rsidRPr="00D926E8">
        <w:rPr>
          <w:rFonts w:ascii="Tenorite" w:hAnsi="Tenorite"/>
          <w:sz w:val="20"/>
          <w:szCs w:val="20"/>
        </w:rPr>
        <w:t xml:space="preserve"> et du mélange de </w:t>
      </w:r>
      <w:proofErr w:type="spellStart"/>
      <w:r w:rsidRPr="00D926E8">
        <w:rPr>
          <w:rFonts w:ascii="Tenorite" w:hAnsi="Tenorite"/>
          <w:sz w:val="20"/>
          <w:szCs w:val="20"/>
        </w:rPr>
        <w:t>terpénoïdes</w:t>
      </w:r>
      <w:proofErr w:type="spellEnd"/>
      <w:r w:rsidRPr="00D926E8">
        <w:rPr>
          <w:rFonts w:ascii="Tenorite" w:hAnsi="Tenorite"/>
          <w:sz w:val="20"/>
          <w:szCs w:val="20"/>
        </w:rPr>
        <w:t xml:space="preserve"> QRD 460 de la liste des substances actives approuvées par le règlement (CE) no 1107/2009 du Parlement européen et du Conseil (JOUE 29/05/2026)</w:t>
      </w:r>
    </w:p>
    <w:p w14:paraId="67C95FD1" w14:textId="77777777" w:rsidR="00610190" w:rsidRPr="00D926E8" w:rsidRDefault="00610190" w:rsidP="00610190">
      <w:pPr>
        <w:shd w:val="clear" w:color="auto" w:fill="FFFFFF"/>
        <w:spacing w:after="0" w:line="240" w:lineRule="auto"/>
        <w:ind w:left="142"/>
        <w:jc w:val="both"/>
        <w:rPr>
          <w:rFonts w:ascii="Tenorite" w:hAnsi="Tenorite"/>
          <w:sz w:val="20"/>
          <w:szCs w:val="20"/>
        </w:rPr>
      </w:pPr>
    </w:p>
    <w:p w14:paraId="336DCDC9" w14:textId="77777777" w:rsidR="00610190" w:rsidRPr="00D926E8" w:rsidRDefault="00610190" w:rsidP="00610190">
      <w:pPr>
        <w:shd w:val="clear" w:color="auto" w:fill="FFFFFF"/>
        <w:spacing w:after="0" w:line="240" w:lineRule="auto"/>
        <w:ind w:left="142"/>
        <w:jc w:val="both"/>
        <w:rPr>
          <w:rFonts w:ascii="Tenorite" w:hAnsi="Tenorite"/>
          <w:sz w:val="20"/>
          <w:szCs w:val="20"/>
        </w:rPr>
      </w:pPr>
      <w:hyperlink r:id="rId24" w:history="1">
        <w:r w:rsidRPr="00D926E8">
          <w:rPr>
            <w:rStyle w:val="Lienhypertexte"/>
            <w:rFonts w:ascii="Tenorite" w:hAnsi="Tenorite"/>
            <w:sz w:val="20"/>
            <w:szCs w:val="20"/>
          </w:rPr>
          <w:t>Règlement</w:t>
        </w:r>
      </w:hyperlink>
      <w:r w:rsidRPr="00D926E8">
        <w:rPr>
          <w:rFonts w:ascii="Tenorite" w:hAnsi="Tenorite"/>
          <w:sz w:val="20"/>
          <w:szCs w:val="20"/>
        </w:rPr>
        <w:t xml:space="preserve"> d’exécution (UE) 2026/1159 de la Commission du 28 mai 2026 modifiant le règlement d’exécution (UE) 2024/2432 en ce qui concerne des modifications administratives de l’autorisation de l’Union pour la famille de produits biocides dénommée </w:t>
      </w:r>
      <w:proofErr w:type="spellStart"/>
      <w:r w:rsidRPr="00D926E8">
        <w:rPr>
          <w:rFonts w:ascii="Tenorite" w:hAnsi="Tenorite"/>
          <w:sz w:val="20"/>
          <w:szCs w:val="20"/>
        </w:rPr>
        <w:t>Diversey</w:t>
      </w:r>
      <w:proofErr w:type="spellEnd"/>
      <w:r w:rsidRPr="00D926E8">
        <w:rPr>
          <w:rFonts w:ascii="Tenorite" w:hAnsi="Tenorite"/>
          <w:sz w:val="20"/>
          <w:szCs w:val="20"/>
        </w:rPr>
        <w:t xml:space="preserve"> </w:t>
      </w:r>
      <w:proofErr w:type="spellStart"/>
      <w:r w:rsidRPr="00D926E8">
        <w:rPr>
          <w:rFonts w:ascii="Tenorite" w:hAnsi="Tenorite"/>
          <w:sz w:val="20"/>
          <w:szCs w:val="20"/>
        </w:rPr>
        <w:t>Hydrogen</w:t>
      </w:r>
      <w:proofErr w:type="spellEnd"/>
      <w:r w:rsidRPr="00D926E8">
        <w:rPr>
          <w:rFonts w:ascii="Tenorite" w:hAnsi="Tenorite"/>
          <w:sz w:val="20"/>
          <w:szCs w:val="20"/>
        </w:rPr>
        <w:t xml:space="preserve"> Peroxide Product Family (JOUE 29/05/2026)</w:t>
      </w:r>
    </w:p>
    <w:p w14:paraId="167C7156" w14:textId="77777777" w:rsidR="00610190" w:rsidRPr="00D926E8" w:rsidRDefault="00610190" w:rsidP="00610190">
      <w:pPr>
        <w:spacing w:after="0" w:line="240" w:lineRule="auto"/>
        <w:jc w:val="both"/>
        <w:rPr>
          <w:rFonts w:ascii="Tenorite" w:hAnsi="Tenorite"/>
          <w:sz w:val="20"/>
          <w:szCs w:val="20"/>
          <w:lang w:eastAsia="fr-FR"/>
        </w:rPr>
      </w:pPr>
    </w:p>
    <w:p w14:paraId="6630880B" w14:textId="670186DB" w:rsidR="002B7CB6" w:rsidRPr="005F3EA3" w:rsidRDefault="00767DBA" w:rsidP="002B7CB6">
      <w:pPr>
        <w:shd w:val="clear" w:color="auto" w:fill="D9D9D9" w:themeFill="background1" w:themeFillShade="D9"/>
        <w:spacing w:after="0" w:line="240" w:lineRule="auto"/>
        <w:ind w:left="284" w:hanging="142"/>
        <w:rPr>
          <w:rFonts w:ascii="Tenorite" w:hAnsi="Tenorite"/>
          <w:b/>
          <w:color w:val="833C0B" w:themeColor="accent2" w:themeShade="80"/>
          <w:sz w:val="24"/>
        </w:rPr>
      </w:pPr>
      <w:r>
        <w:rPr>
          <w:rFonts w:ascii="Tenorite" w:hAnsi="Tenorite"/>
          <w:b/>
          <w:color w:val="833C0B" w:themeColor="accent2" w:themeShade="80"/>
          <w:sz w:val="24"/>
        </w:rPr>
        <w:t>SUBSTANCES CHIMIQUES ET CONTAMINANTS</w:t>
      </w:r>
    </w:p>
    <w:p w14:paraId="1012E99E" w14:textId="35DAADFE" w:rsidR="005F3EA3" w:rsidRPr="005F3EA3" w:rsidRDefault="00610190" w:rsidP="002B7CB6">
      <w:pPr>
        <w:spacing w:after="0" w:line="240" w:lineRule="auto"/>
        <w:ind w:left="284" w:hanging="142"/>
        <w:rPr>
          <w:rFonts w:ascii="Tenorite" w:eastAsia="MS Gothic" w:hAnsi="Tenorite" w:cs="Segoe UI Symbol"/>
          <w:b/>
          <w:sz w:val="28"/>
        </w:rPr>
      </w:pPr>
      <w:r>
        <w:rPr>
          <w:rFonts w:ascii="Tenorite" w:eastAsia="MS Gothic" w:hAnsi="Tenorite" w:cs="Segoe UI Symbol"/>
          <w:b/>
          <w:sz w:val="28"/>
        </w:rPr>
        <w:t>/</w:t>
      </w:r>
    </w:p>
    <w:p w14:paraId="2115C4F0" w14:textId="01B12948" w:rsidR="002B7CB6" w:rsidRPr="005F3EA3" w:rsidRDefault="002B7CB6" w:rsidP="002B7CB6">
      <w:pPr>
        <w:shd w:val="clear" w:color="auto" w:fill="D9D9D9" w:themeFill="background1" w:themeFillShade="D9"/>
        <w:spacing w:after="0" w:line="240" w:lineRule="auto"/>
        <w:ind w:left="284" w:hanging="142"/>
        <w:rPr>
          <w:rFonts w:ascii="Tenorite" w:hAnsi="Tenorite"/>
          <w:b/>
          <w:color w:val="833C0B" w:themeColor="accent2" w:themeShade="80"/>
          <w:sz w:val="24"/>
        </w:rPr>
      </w:pPr>
      <w:r w:rsidRPr="005F3EA3">
        <w:rPr>
          <w:rFonts w:ascii="Tenorite" w:hAnsi="Tenorite"/>
          <w:b/>
          <w:color w:val="833C0B" w:themeColor="accent2" w:themeShade="80"/>
          <w:sz w:val="24"/>
        </w:rPr>
        <w:t xml:space="preserve">ETIQUETAGE </w:t>
      </w:r>
      <w:r w:rsidR="00767DBA">
        <w:rPr>
          <w:rFonts w:ascii="Tenorite" w:hAnsi="Tenorite"/>
          <w:b/>
          <w:color w:val="833C0B" w:themeColor="accent2" w:themeShade="80"/>
          <w:sz w:val="24"/>
        </w:rPr>
        <w:t>ET PRESENTATION DES PRODUITS</w:t>
      </w:r>
    </w:p>
    <w:p w14:paraId="36C2BDFD" w14:textId="56EDF5C5" w:rsidR="00767DBA" w:rsidRPr="00610190" w:rsidRDefault="00610190" w:rsidP="00610190">
      <w:pPr>
        <w:spacing w:after="0" w:line="240" w:lineRule="auto"/>
        <w:ind w:left="284" w:hanging="142"/>
        <w:rPr>
          <w:rFonts w:ascii="Tenorite" w:eastAsia="MS Gothic" w:hAnsi="Tenorite" w:cs="Segoe UI Symbol"/>
          <w:b/>
          <w:sz w:val="28"/>
        </w:rPr>
      </w:pPr>
      <w:r w:rsidRPr="00610190">
        <w:rPr>
          <w:rFonts w:ascii="Tenorite" w:eastAsia="MS Gothic" w:hAnsi="Tenorite" w:cs="Segoe UI Symbol"/>
          <w:b/>
          <w:sz w:val="28"/>
        </w:rPr>
        <w:t>/</w:t>
      </w:r>
    </w:p>
    <w:p w14:paraId="5A11BE1A" w14:textId="77777777" w:rsidR="002B7CB6" w:rsidRPr="005F3EA3" w:rsidRDefault="002B7CB6" w:rsidP="002B7CB6">
      <w:pPr>
        <w:shd w:val="clear" w:color="auto" w:fill="D9D9D9" w:themeFill="background1" w:themeFillShade="D9"/>
        <w:spacing w:after="0" w:line="240" w:lineRule="auto"/>
        <w:ind w:left="284" w:hanging="142"/>
        <w:rPr>
          <w:rFonts w:ascii="Tenorite" w:hAnsi="Tenorite"/>
          <w:b/>
          <w:color w:val="833C0B" w:themeColor="accent2" w:themeShade="80"/>
          <w:sz w:val="24"/>
        </w:rPr>
      </w:pPr>
      <w:r w:rsidRPr="005F3EA3">
        <w:rPr>
          <w:rFonts w:ascii="Tenorite" w:hAnsi="Tenorite"/>
          <w:b/>
          <w:color w:val="833C0B" w:themeColor="accent2" w:themeShade="80"/>
          <w:sz w:val="24"/>
        </w:rPr>
        <w:t xml:space="preserve">HYGIENE ET SECURITE DES ALIMENTS </w:t>
      </w:r>
    </w:p>
    <w:p w14:paraId="50DE2F97" w14:textId="77777777" w:rsidR="00610190" w:rsidRPr="00D926E8" w:rsidRDefault="00610190" w:rsidP="00610190">
      <w:pPr>
        <w:spacing w:after="0" w:line="240" w:lineRule="auto"/>
        <w:ind w:left="284" w:hanging="142"/>
        <w:rPr>
          <w:rFonts w:ascii="Tenorite" w:hAnsi="Tenorite"/>
          <w:color w:val="C45911" w:themeColor="accent2" w:themeShade="BF"/>
          <w:sz w:val="20"/>
        </w:rPr>
      </w:pPr>
      <w:proofErr w:type="spellStart"/>
      <w:r w:rsidRPr="00D926E8">
        <w:rPr>
          <w:rFonts w:ascii="Tenorite" w:hAnsi="Tenorite"/>
          <w:color w:val="C45911" w:themeColor="accent2" w:themeShade="BF"/>
          <w:sz w:val="20"/>
        </w:rPr>
        <w:t>BuSCA</w:t>
      </w:r>
      <w:proofErr w:type="spellEnd"/>
    </w:p>
    <w:p w14:paraId="76D4914A" w14:textId="77777777" w:rsidR="00610190" w:rsidRPr="00D926E8" w:rsidRDefault="00610190" w:rsidP="00610190">
      <w:pPr>
        <w:adjustRightInd w:val="0"/>
        <w:spacing w:after="0" w:line="240" w:lineRule="auto"/>
        <w:ind w:left="142"/>
        <w:rPr>
          <w:rFonts w:ascii="Tenorite" w:hAnsi="Tenorite"/>
          <w:sz w:val="20"/>
          <w:szCs w:val="20"/>
        </w:rPr>
      </w:pPr>
      <w:hyperlink r:id="rId25" w:history="1">
        <w:proofErr w:type="spellStart"/>
        <w:r w:rsidRPr="00D926E8">
          <w:rPr>
            <w:rStyle w:val="Lienhypertexte"/>
            <w:rFonts w:ascii="Tenorite" w:hAnsi="Tenorite"/>
            <w:b/>
            <w:bCs/>
            <w:sz w:val="20"/>
            <w:szCs w:val="20"/>
          </w:rPr>
          <w:t>BuSC</w:t>
        </w:r>
        <w:r w:rsidRPr="00D926E8">
          <w:rPr>
            <w:rStyle w:val="Lienhypertexte"/>
            <w:rFonts w:ascii="Tenorite" w:hAnsi="Tenorite"/>
            <w:b/>
            <w:bCs/>
            <w:sz w:val="20"/>
            <w:szCs w:val="20"/>
          </w:rPr>
          <w:t>A</w:t>
        </w:r>
        <w:proofErr w:type="spellEnd"/>
        <w:r w:rsidRPr="00D926E8">
          <w:rPr>
            <w:rStyle w:val="Lienhypertexte"/>
            <w:rFonts w:ascii="Tenorite" w:hAnsi="Tenorite"/>
            <w:b/>
            <w:bCs/>
            <w:sz w:val="20"/>
            <w:szCs w:val="20"/>
          </w:rPr>
          <w:t xml:space="preserve"> n° 156</w:t>
        </w:r>
      </w:hyperlink>
      <w:r w:rsidRPr="00D926E8">
        <w:rPr>
          <w:rFonts w:ascii="Tenorite" w:hAnsi="Tenorite"/>
          <w:b/>
          <w:bCs/>
          <w:sz w:val="20"/>
          <w:szCs w:val="20"/>
        </w:rPr>
        <w:t xml:space="preserve"> – 13 mai 2026, </w:t>
      </w:r>
      <w:r w:rsidRPr="00D926E8">
        <w:rPr>
          <w:rFonts w:ascii="Tenorite" w:hAnsi="Tenorite"/>
          <w:sz w:val="20"/>
          <w:szCs w:val="20"/>
        </w:rPr>
        <w:t>Plateforme de surveillance de la chaîne alimentaire</w:t>
      </w:r>
    </w:p>
    <w:p w14:paraId="53D6B121" w14:textId="77777777" w:rsidR="00610190" w:rsidRPr="00D926E8" w:rsidRDefault="00610190" w:rsidP="00610190">
      <w:pPr>
        <w:adjustRightInd w:val="0"/>
        <w:spacing w:after="0" w:line="240" w:lineRule="auto"/>
        <w:ind w:left="142"/>
        <w:rPr>
          <w:rFonts w:ascii="Tenorite" w:hAnsi="Tenorite"/>
          <w:sz w:val="20"/>
          <w:szCs w:val="20"/>
        </w:rPr>
      </w:pPr>
      <w:hyperlink r:id="rId26" w:history="1">
        <w:proofErr w:type="spellStart"/>
        <w:r w:rsidRPr="00D926E8">
          <w:rPr>
            <w:rStyle w:val="Lienhypertexte"/>
            <w:rFonts w:ascii="Tenorite" w:hAnsi="Tenorite"/>
            <w:b/>
            <w:bCs/>
            <w:sz w:val="20"/>
            <w:szCs w:val="20"/>
          </w:rPr>
          <w:t>BuSCA</w:t>
        </w:r>
        <w:proofErr w:type="spellEnd"/>
        <w:r w:rsidRPr="00D926E8">
          <w:rPr>
            <w:rStyle w:val="Lienhypertexte"/>
            <w:rFonts w:ascii="Tenorite" w:hAnsi="Tenorite"/>
            <w:b/>
            <w:bCs/>
            <w:sz w:val="20"/>
            <w:szCs w:val="20"/>
          </w:rPr>
          <w:t xml:space="preserve"> n° 157</w:t>
        </w:r>
      </w:hyperlink>
      <w:r w:rsidRPr="00D926E8">
        <w:rPr>
          <w:rFonts w:ascii="Tenorite" w:hAnsi="Tenorite"/>
          <w:sz w:val="20"/>
          <w:szCs w:val="20"/>
        </w:rPr>
        <w:t xml:space="preserve"> – 29 mai 2026, Plateforme de surveillance de la chaîne alimentaire</w:t>
      </w:r>
    </w:p>
    <w:p w14:paraId="60549313" w14:textId="77777777" w:rsidR="001B42BB" w:rsidRPr="005F3EA3" w:rsidRDefault="001B42BB" w:rsidP="001B42BB">
      <w:pPr>
        <w:spacing w:after="0" w:line="240" w:lineRule="auto"/>
        <w:ind w:left="284" w:hanging="142"/>
        <w:rPr>
          <w:rFonts w:ascii="Tenorite" w:hAnsi="Tenorite"/>
          <w:color w:val="C45911" w:themeColor="accent2" w:themeShade="BF"/>
          <w:sz w:val="20"/>
        </w:rPr>
      </w:pPr>
    </w:p>
    <w:p w14:paraId="5417E9F6" w14:textId="6E2A768A" w:rsidR="002B7CB6" w:rsidRPr="005F3EA3" w:rsidRDefault="002B7CB6" w:rsidP="002B7CB6">
      <w:pPr>
        <w:shd w:val="clear" w:color="auto" w:fill="D9D9D9" w:themeFill="background1" w:themeFillShade="D9"/>
        <w:spacing w:after="0" w:line="240" w:lineRule="auto"/>
        <w:ind w:left="284" w:hanging="142"/>
        <w:rPr>
          <w:rFonts w:ascii="Tenorite" w:hAnsi="Tenorite"/>
          <w:b/>
          <w:color w:val="833C0B" w:themeColor="accent2" w:themeShade="80"/>
          <w:sz w:val="24"/>
        </w:rPr>
      </w:pPr>
      <w:r w:rsidRPr="005F3EA3">
        <w:rPr>
          <w:rFonts w:ascii="Tenorite" w:hAnsi="Tenorite"/>
          <w:b/>
          <w:color w:val="833C0B" w:themeColor="accent2" w:themeShade="80"/>
          <w:sz w:val="24"/>
        </w:rPr>
        <w:t>MARCHES (importation, modalités de commercialisation</w:t>
      </w:r>
      <w:r w:rsidR="00767DBA">
        <w:rPr>
          <w:rFonts w:ascii="Tenorite" w:hAnsi="Tenorite"/>
          <w:b/>
          <w:color w:val="833C0B" w:themeColor="accent2" w:themeShade="80"/>
          <w:sz w:val="24"/>
        </w:rPr>
        <w:t>, exportation</w:t>
      </w:r>
      <w:r w:rsidRPr="005F3EA3">
        <w:rPr>
          <w:rFonts w:ascii="Tenorite" w:hAnsi="Tenorite"/>
          <w:b/>
          <w:color w:val="833C0B" w:themeColor="accent2" w:themeShade="80"/>
          <w:sz w:val="24"/>
        </w:rPr>
        <w:t>)</w:t>
      </w:r>
    </w:p>
    <w:p w14:paraId="1BB75864" w14:textId="6DBD1F36" w:rsidR="005671AA" w:rsidRPr="006E453B" w:rsidRDefault="00610190" w:rsidP="006E453B">
      <w:pPr>
        <w:spacing w:after="0" w:line="240" w:lineRule="auto"/>
        <w:ind w:left="284" w:hanging="142"/>
        <w:rPr>
          <w:rFonts w:ascii="Tenorite" w:eastAsia="MS Gothic" w:hAnsi="Tenorite" w:cs="Segoe UI Symbol"/>
          <w:b/>
          <w:sz w:val="28"/>
        </w:rPr>
      </w:pPr>
      <w:r w:rsidRPr="006E453B">
        <w:rPr>
          <w:rFonts w:ascii="Tenorite" w:eastAsia="MS Gothic" w:hAnsi="Tenorite" w:cs="Segoe UI Symbol"/>
          <w:b/>
          <w:sz w:val="28"/>
        </w:rPr>
        <w:t>/</w:t>
      </w:r>
    </w:p>
    <w:p w14:paraId="63DF5A7E" w14:textId="1BA160DC" w:rsidR="002B7CB6" w:rsidRPr="005F3EA3" w:rsidRDefault="002B7CB6" w:rsidP="001B42BB">
      <w:pPr>
        <w:shd w:val="clear" w:color="auto" w:fill="D9D9D9" w:themeFill="background1" w:themeFillShade="D9"/>
        <w:spacing w:after="0" w:line="240" w:lineRule="auto"/>
        <w:ind w:left="284" w:hanging="142"/>
        <w:rPr>
          <w:rFonts w:ascii="Tenorite" w:hAnsi="Tenorite"/>
          <w:b/>
          <w:color w:val="833C0B" w:themeColor="accent2" w:themeShade="80"/>
          <w:sz w:val="24"/>
        </w:rPr>
      </w:pPr>
      <w:r w:rsidRPr="005F3EA3">
        <w:rPr>
          <w:rFonts w:ascii="Tenorite" w:hAnsi="Tenorite"/>
          <w:b/>
          <w:color w:val="833C0B" w:themeColor="accent2" w:themeShade="80"/>
          <w:sz w:val="24"/>
        </w:rPr>
        <w:t xml:space="preserve">MATERIAUX </w:t>
      </w:r>
      <w:r w:rsidR="00767DBA">
        <w:rPr>
          <w:rFonts w:ascii="Tenorite" w:hAnsi="Tenorite"/>
          <w:b/>
          <w:color w:val="833C0B" w:themeColor="accent2" w:themeShade="80"/>
          <w:sz w:val="24"/>
        </w:rPr>
        <w:t xml:space="preserve">ET OBJETS </w:t>
      </w:r>
      <w:r w:rsidRPr="005F3EA3">
        <w:rPr>
          <w:rFonts w:ascii="Tenorite" w:hAnsi="Tenorite"/>
          <w:b/>
          <w:color w:val="833C0B" w:themeColor="accent2" w:themeShade="80"/>
          <w:sz w:val="24"/>
        </w:rPr>
        <w:t>AU CONTACT</w:t>
      </w:r>
    </w:p>
    <w:p w14:paraId="3A4BE506" w14:textId="59AFBE05" w:rsidR="00767DBA" w:rsidRPr="006E453B" w:rsidRDefault="005671AA" w:rsidP="006E453B">
      <w:pPr>
        <w:spacing w:after="0" w:line="240" w:lineRule="auto"/>
        <w:ind w:left="284" w:hanging="142"/>
        <w:rPr>
          <w:rFonts w:ascii="Tenorite" w:eastAsia="MS Gothic" w:hAnsi="Tenorite" w:cs="Segoe UI Symbol"/>
          <w:b/>
          <w:sz w:val="28"/>
        </w:rPr>
      </w:pPr>
      <w:r w:rsidRPr="006E453B">
        <w:rPr>
          <w:rFonts w:ascii="Tenorite" w:eastAsia="MS Gothic" w:hAnsi="Tenorite" w:cs="Segoe UI Symbol"/>
          <w:b/>
          <w:sz w:val="28"/>
        </w:rPr>
        <w:t>/</w:t>
      </w:r>
    </w:p>
    <w:p w14:paraId="6A58FF82" w14:textId="03C8B2D3" w:rsidR="00767DBA" w:rsidRPr="005F3EA3" w:rsidRDefault="00767DBA" w:rsidP="00767DBA">
      <w:pPr>
        <w:shd w:val="clear" w:color="auto" w:fill="D9D9D9" w:themeFill="background1" w:themeFillShade="D9"/>
        <w:spacing w:after="0" w:line="240" w:lineRule="auto"/>
        <w:ind w:left="284" w:hanging="142"/>
        <w:rPr>
          <w:rFonts w:ascii="Tenorite" w:hAnsi="Tenorite"/>
          <w:b/>
          <w:color w:val="833C0B" w:themeColor="accent2" w:themeShade="80"/>
          <w:sz w:val="24"/>
        </w:rPr>
      </w:pPr>
      <w:r>
        <w:rPr>
          <w:rFonts w:ascii="Tenorite" w:hAnsi="Tenorite"/>
          <w:b/>
          <w:color w:val="833C0B" w:themeColor="accent2" w:themeShade="80"/>
          <w:sz w:val="24"/>
        </w:rPr>
        <w:t>CONDITIONNEMENT - EMBALLAGE</w:t>
      </w:r>
    </w:p>
    <w:p w14:paraId="589447FC" w14:textId="77777777" w:rsidR="00610190" w:rsidRPr="00D926E8" w:rsidRDefault="00610190" w:rsidP="00610190">
      <w:pPr>
        <w:shd w:val="clear" w:color="auto" w:fill="FFFFFF"/>
        <w:spacing w:after="0" w:line="240" w:lineRule="auto"/>
        <w:ind w:left="142"/>
        <w:rPr>
          <w:rFonts w:ascii="Tenorite" w:hAnsi="Tenorite"/>
          <w:sz w:val="20"/>
          <w:szCs w:val="20"/>
        </w:rPr>
      </w:pPr>
      <w:hyperlink r:id="rId27" w:history="1">
        <w:r w:rsidRPr="00D926E8">
          <w:rPr>
            <w:rStyle w:val="Lienhypertexte"/>
            <w:rFonts w:ascii="Tenorite" w:hAnsi="Tenorite"/>
            <w:sz w:val="20"/>
            <w:szCs w:val="20"/>
          </w:rPr>
          <w:t>Ar</w:t>
        </w:r>
        <w:r w:rsidRPr="00D926E8">
          <w:rPr>
            <w:rStyle w:val="Lienhypertexte"/>
            <w:rFonts w:ascii="Tenorite" w:hAnsi="Tenorite"/>
            <w:sz w:val="20"/>
            <w:szCs w:val="20"/>
          </w:rPr>
          <w:t>r</w:t>
        </w:r>
        <w:r w:rsidRPr="00D926E8">
          <w:rPr>
            <w:rStyle w:val="Lienhypertexte"/>
            <w:rFonts w:ascii="Tenorite" w:hAnsi="Tenorite"/>
            <w:sz w:val="20"/>
            <w:szCs w:val="20"/>
          </w:rPr>
          <w:t>êté</w:t>
        </w:r>
      </w:hyperlink>
      <w:r w:rsidRPr="00D926E8">
        <w:rPr>
          <w:rFonts w:ascii="Tenorite" w:hAnsi="Tenorite"/>
          <w:sz w:val="20"/>
          <w:szCs w:val="20"/>
        </w:rPr>
        <w:t xml:space="preserve"> du 22 avril 2026 modifiant l'arrêté du 12 décembre 2022 relatif aux données des filières à responsabilité élargie des producteurs (JORF 05/05/2026)</w:t>
      </w:r>
    </w:p>
    <w:p w14:paraId="4B9A731A" w14:textId="77777777" w:rsidR="00610190" w:rsidRPr="00D926E8" w:rsidRDefault="00610190" w:rsidP="00610190">
      <w:pPr>
        <w:shd w:val="clear" w:color="auto" w:fill="FFFFFF"/>
        <w:spacing w:after="0" w:line="240" w:lineRule="auto"/>
        <w:ind w:left="142"/>
        <w:rPr>
          <w:rFonts w:ascii="Tenorite" w:hAnsi="Tenorite"/>
          <w:sz w:val="20"/>
          <w:szCs w:val="20"/>
        </w:rPr>
      </w:pPr>
    </w:p>
    <w:p w14:paraId="7F3E7D24" w14:textId="77777777" w:rsidR="00610190" w:rsidRDefault="00610190" w:rsidP="00610190">
      <w:pPr>
        <w:shd w:val="clear" w:color="auto" w:fill="FFFFFF"/>
        <w:spacing w:after="0" w:line="240" w:lineRule="auto"/>
        <w:ind w:left="142"/>
        <w:rPr>
          <w:rFonts w:ascii="Tenorite" w:hAnsi="Tenorite"/>
          <w:sz w:val="20"/>
          <w:szCs w:val="20"/>
        </w:rPr>
      </w:pPr>
      <w:hyperlink r:id="rId28" w:history="1">
        <w:r w:rsidRPr="00D926E8">
          <w:rPr>
            <w:rStyle w:val="Lienhypertexte"/>
            <w:rFonts w:ascii="Tenorite" w:hAnsi="Tenorite"/>
            <w:sz w:val="20"/>
            <w:szCs w:val="20"/>
          </w:rPr>
          <w:t>Décision</w:t>
        </w:r>
      </w:hyperlink>
      <w:r w:rsidRPr="00D926E8">
        <w:rPr>
          <w:rFonts w:ascii="Tenorite" w:hAnsi="Tenorite"/>
          <w:sz w:val="20"/>
          <w:szCs w:val="20"/>
        </w:rPr>
        <w:t xml:space="preserve"> déléguée (UE) 2026/429 de la Commission du 25 février 2026 complétant le règlement (UE) 2025/40 du Parlement européen et du Conseil en exemptant certains opérateurs économiques qui utilisent des emballages de palettes et des sangles des exigences en matière de réemploi de 100 % de ces formats d’emballage (JOUE 06/05/2026)</w:t>
      </w:r>
    </w:p>
    <w:p w14:paraId="2A053FD4" w14:textId="77777777" w:rsidR="006E453B" w:rsidRDefault="006E453B" w:rsidP="00610190">
      <w:pPr>
        <w:shd w:val="clear" w:color="auto" w:fill="FFFFFF"/>
        <w:spacing w:after="0" w:line="240" w:lineRule="auto"/>
        <w:ind w:left="142"/>
        <w:rPr>
          <w:rFonts w:ascii="Tenorite" w:hAnsi="Tenorite"/>
          <w:sz w:val="20"/>
          <w:szCs w:val="20"/>
        </w:rPr>
      </w:pPr>
    </w:p>
    <w:p w14:paraId="7772EBFF" w14:textId="77777777" w:rsidR="006E453B" w:rsidRDefault="006E453B" w:rsidP="00610190">
      <w:pPr>
        <w:shd w:val="clear" w:color="auto" w:fill="FFFFFF"/>
        <w:spacing w:after="0" w:line="240" w:lineRule="auto"/>
        <w:ind w:left="142"/>
        <w:rPr>
          <w:rFonts w:ascii="Tenorite" w:hAnsi="Tenorite"/>
          <w:sz w:val="20"/>
          <w:szCs w:val="20"/>
        </w:rPr>
      </w:pPr>
    </w:p>
    <w:p w14:paraId="2153F0AD" w14:textId="77777777" w:rsidR="002B7CB6" w:rsidRPr="005F3EA3" w:rsidRDefault="002B7CB6" w:rsidP="001B42BB">
      <w:pPr>
        <w:shd w:val="clear" w:color="auto" w:fill="D9D9D9" w:themeFill="background1" w:themeFillShade="D9"/>
        <w:spacing w:after="0" w:line="240" w:lineRule="auto"/>
        <w:ind w:left="284" w:hanging="142"/>
        <w:rPr>
          <w:rFonts w:ascii="Tenorite" w:hAnsi="Tenorite"/>
          <w:b/>
          <w:color w:val="833C0B" w:themeColor="accent2" w:themeShade="80"/>
          <w:sz w:val="24"/>
        </w:rPr>
      </w:pPr>
      <w:r w:rsidRPr="005F3EA3">
        <w:rPr>
          <w:rFonts w:ascii="Tenorite" w:hAnsi="Tenorite"/>
          <w:b/>
          <w:color w:val="833C0B" w:themeColor="accent2" w:themeShade="80"/>
          <w:sz w:val="24"/>
        </w:rPr>
        <w:t>METROLOGIE</w:t>
      </w:r>
    </w:p>
    <w:p w14:paraId="2C44D545" w14:textId="26231A8C" w:rsidR="001B42BB" w:rsidRDefault="005671AA" w:rsidP="002B7CB6">
      <w:pPr>
        <w:spacing w:line="240" w:lineRule="auto"/>
        <w:ind w:left="284" w:hanging="142"/>
        <w:rPr>
          <w:rFonts w:ascii="Tenorite" w:hAnsi="Tenorite"/>
          <w:b/>
        </w:rPr>
      </w:pPr>
      <w:r>
        <w:rPr>
          <w:rFonts w:ascii="Tenorite" w:hAnsi="Tenorite"/>
          <w:b/>
        </w:rPr>
        <w:t>/</w:t>
      </w:r>
    </w:p>
    <w:p w14:paraId="254D792C" w14:textId="45699711" w:rsidR="00767DBA" w:rsidRPr="005F3EA3" w:rsidRDefault="00767DBA" w:rsidP="00767DBA">
      <w:pPr>
        <w:shd w:val="clear" w:color="auto" w:fill="D9D9D9" w:themeFill="background1" w:themeFillShade="D9"/>
        <w:spacing w:after="0" w:line="240" w:lineRule="auto"/>
        <w:ind w:left="284" w:hanging="142"/>
        <w:rPr>
          <w:rFonts w:ascii="Tenorite" w:hAnsi="Tenorite"/>
          <w:b/>
          <w:color w:val="833C0B" w:themeColor="accent2" w:themeShade="80"/>
          <w:sz w:val="24"/>
        </w:rPr>
      </w:pPr>
      <w:r>
        <w:rPr>
          <w:rFonts w:ascii="Tenorite" w:hAnsi="Tenorite"/>
          <w:b/>
          <w:color w:val="833C0B" w:themeColor="accent2" w:themeShade="80"/>
          <w:sz w:val="24"/>
        </w:rPr>
        <w:t>NUTRITION – ALIMENTATION PARTICULIERE</w:t>
      </w:r>
    </w:p>
    <w:p w14:paraId="55728462" w14:textId="3C5AC1D5" w:rsidR="00767DBA" w:rsidRPr="005F3EA3" w:rsidRDefault="005671AA" w:rsidP="002B7CB6">
      <w:pPr>
        <w:spacing w:line="240" w:lineRule="auto"/>
        <w:ind w:left="284" w:hanging="142"/>
        <w:rPr>
          <w:rFonts w:ascii="Tenorite" w:hAnsi="Tenorite"/>
          <w:b/>
        </w:rPr>
      </w:pPr>
      <w:r>
        <w:rPr>
          <w:rFonts w:ascii="Tenorite" w:hAnsi="Tenorite"/>
          <w:b/>
        </w:rPr>
        <w:t>/</w:t>
      </w:r>
    </w:p>
    <w:p w14:paraId="67B68949" w14:textId="77777777" w:rsidR="002B7CB6" w:rsidRPr="005F3EA3" w:rsidRDefault="002B7CB6" w:rsidP="001B42BB">
      <w:pPr>
        <w:shd w:val="clear" w:color="auto" w:fill="D9D9D9" w:themeFill="background1" w:themeFillShade="D9"/>
        <w:spacing w:after="0" w:line="240" w:lineRule="auto"/>
        <w:ind w:left="284" w:hanging="142"/>
        <w:rPr>
          <w:rFonts w:ascii="Tenorite" w:hAnsi="Tenorite"/>
          <w:b/>
          <w:color w:val="833C0B" w:themeColor="accent2" w:themeShade="80"/>
          <w:sz w:val="24"/>
        </w:rPr>
      </w:pPr>
      <w:r w:rsidRPr="005F3EA3">
        <w:rPr>
          <w:rFonts w:ascii="Tenorite" w:hAnsi="Tenorite"/>
          <w:b/>
          <w:color w:val="833C0B" w:themeColor="accent2" w:themeShade="80"/>
          <w:sz w:val="24"/>
        </w:rPr>
        <w:t>OGM</w:t>
      </w:r>
    </w:p>
    <w:p w14:paraId="6DF3241A" w14:textId="2D07FBBD" w:rsidR="002B2AC7" w:rsidRPr="006E453B" w:rsidRDefault="00610190" w:rsidP="006E453B">
      <w:pPr>
        <w:spacing w:line="240" w:lineRule="auto"/>
        <w:ind w:left="284" w:hanging="142"/>
        <w:rPr>
          <w:b/>
        </w:rPr>
      </w:pPr>
      <w:r w:rsidRPr="006E453B">
        <w:rPr>
          <w:rFonts w:ascii="Tenorite" w:hAnsi="Tenorite"/>
          <w:b/>
        </w:rPr>
        <w:t>/</w:t>
      </w:r>
    </w:p>
    <w:p w14:paraId="685BD29A" w14:textId="48D81777" w:rsidR="002B7CB6" w:rsidRPr="005F3EA3" w:rsidRDefault="00767DBA" w:rsidP="001B42BB">
      <w:pPr>
        <w:shd w:val="clear" w:color="auto" w:fill="D9D9D9" w:themeFill="background1" w:themeFillShade="D9"/>
        <w:spacing w:after="0" w:line="240" w:lineRule="auto"/>
        <w:ind w:left="284" w:hanging="142"/>
        <w:rPr>
          <w:rFonts w:ascii="Tenorite" w:hAnsi="Tenorite"/>
          <w:b/>
          <w:color w:val="833C0B" w:themeColor="accent2" w:themeShade="80"/>
          <w:sz w:val="24"/>
        </w:rPr>
      </w:pPr>
      <w:r>
        <w:rPr>
          <w:rFonts w:ascii="Tenorite" w:hAnsi="Tenorite"/>
          <w:b/>
          <w:color w:val="833C0B" w:themeColor="accent2" w:themeShade="80"/>
          <w:sz w:val="24"/>
        </w:rPr>
        <w:t xml:space="preserve">PRODUITS BIOLOGIQUES </w:t>
      </w:r>
    </w:p>
    <w:p w14:paraId="06697625" w14:textId="00CAD137" w:rsidR="001B42BB" w:rsidRPr="006E453B" w:rsidRDefault="005671AA" w:rsidP="006E453B">
      <w:pPr>
        <w:spacing w:line="240" w:lineRule="auto"/>
        <w:ind w:left="284" w:hanging="142"/>
        <w:rPr>
          <w:rFonts w:ascii="Tenorite" w:hAnsi="Tenorite"/>
          <w:b/>
        </w:rPr>
      </w:pPr>
      <w:r w:rsidRPr="006E453B">
        <w:rPr>
          <w:rFonts w:ascii="Tenorite" w:hAnsi="Tenorite"/>
          <w:b/>
        </w:rPr>
        <w:t>/</w:t>
      </w:r>
    </w:p>
    <w:p w14:paraId="54E176FF" w14:textId="679FF40F" w:rsidR="00767DBA" w:rsidRPr="005F3EA3" w:rsidRDefault="00767DBA" w:rsidP="00767DBA">
      <w:pPr>
        <w:shd w:val="clear" w:color="auto" w:fill="D9D9D9" w:themeFill="background1" w:themeFillShade="D9"/>
        <w:spacing w:after="0" w:line="240" w:lineRule="auto"/>
        <w:ind w:left="284" w:hanging="142"/>
        <w:rPr>
          <w:rFonts w:ascii="Tenorite" w:hAnsi="Tenorite"/>
          <w:b/>
          <w:color w:val="833C0B" w:themeColor="accent2" w:themeShade="80"/>
          <w:sz w:val="24"/>
        </w:rPr>
      </w:pPr>
      <w:r w:rsidRPr="005F3EA3">
        <w:rPr>
          <w:rFonts w:ascii="Tenorite" w:hAnsi="Tenorite"/>
          <w:b/>
          <w:color w:val="833C0B" w:themeColor="accent2" w:themeShade="80"/>
          <w:sz w:val="24"/>
        </w:rPr>
        <w:t xml:space="preserve">SIGNES </w:t>
      </w:r>
      <w:r>
        <w:rPr>
          <w:rFonts w:ascii="Tenorite" w:hAnsi="Tenorite"/>
          <w:b/>
          <w:color w:val="833C0B" w:themeColor="accent2" w:themeShade="80"/>
          <w:sz w:val="24"/>
        </w:rPr>
        <w:t xml:space="preserve">OFFICIELS DE </w:t>
      </w:r>
      <w:r w:rsidRPr="005F3EA3">
        <w:rPr>
          <w:rFonts w:ascii="Tenorite" w:hAnsi="Tenorite"/>
          <w:b/>
          <w:color w:val="833C0B" w:themeColor="accent2" w:themeShade="80"/>
          <w:sz w:val="24"/>
        </w:rPr>
        <w:t>QUALITE</w:t>
      </w:r>
    </w:p>
    <w:p w14:paraId="52B48859" w14:textId="18C8BF57" w:rsidR="00454D3B" w:rsidRPr="006E453B" w:rsidRDefault="00610190" w:rsidP="006E453B">
      <w:pPr>
        <w:spacing w:line="240" w:lineRule="auto"/>
        <w:ind w:left="284" w:hanging="142"/>
        <w:rPr>
          <w:rFonts w:ascii="Tenorite" w:hAnsi="Tenorite"/>
          <w:b/>
        </w:rPr>
      </w:pPr>
      <w:r w:rsidRPr="006E453B">
        <w:rPr>
          <w:rFonts w:ascii="Tenorite" w:hAnsi="Tenorite"/>
          <w:b/>
        </w:rPr>
        <w:t>/</w:t>
      </w:r>
    </w:p>
    <w:p w14:paraId="415BEA78" w14:textId="02159DA2" w:rsidR="002B7CB6" w:rsidRPr="005F3EA3" w:rsidRDefault="002B7CB6" w:rsidP="001B42BB">
      <w:pPr>
        <w:shd w:val="clear" w:color="auto" w:fill="D9D9D9" w:themeFill="background1" w:themeFillShade="D9"/>
        <w:spacing w:after="0" w:line="240" w:lineRule="auto"/>
        <w:ind w:left="284" w:hanging="142"/>
        <w:rPr>
          <w:rFonts w:ascii="Tenorite" w:hAnsi="Tenorite"/>
          <w:b/>
          <w:color w:val="833C0B" w:themeColor="accent2" w:themeShade="80"/>
          <w:sz w:val="24"/>
        </w:rPr>
      </w:pPr>
      <w:r w:rsidRPr="005F3EA3">
        <w:rPr>
          <w:rFonts w:ascii="Tenorite" w:hAnsi="Tenorite"/>
          <w:b/>
          <w:color w:val="833C0B" w:themeColor="accent2" w:themeShade="80"/>
          <w:sz w:val="24"/>
        </w:rPr>
        <w:t>TRAITEMENT</w:t>
      </w:r>
      <w:r w:rsidR="00767DBA">
        <w:rPr>
          <w:rFonts w:ascii="Tenorite" w:hAnsi="Tenorite"/>
          <w:b/>
          <w:color w:val="833C0B" w:themeColor="accent2" w:themeShade="80"/>
          <w:sz w:val="24"/>
        </w:rPr>
        <w:t xml:space="preserve"> DES DENREES ALIM</w:t>
      </w:r>
      <w:r w:rsidR="006E453B">
        <w:rPr>
          <w:rFonts w:ascii="Tenorite" w:hAnsi="Tenorite"/>
          <w:b/>
          <w:color w:val="833C0B" w:themeColor="accent2" w:themeShade="80"/>
          <w:sz w:val="24"/>
        </w:rPr>
        <w:t>E</w:t>
      </w:r>
      <w:r w:rsidR="00767DBA">
        <w:rPr>
          <w:rFonts w:ascii="Tenorite" w:hAnsi="Tenorite"/>
          <w:b/>
          <w:color w:val="833C0B" w:themeColor="accent2" w:themeShade="80"/>
          <w:sz w:val="24"/>
        </w:rPr>
        <w:t xml:space="preserve">NTAIRES </w:t>
      </w:r>
    </w:p>
    <w:p w14:paraId="72ACAB2C" w14:textId="025C5435" w:rsidR="00D025D4" w:rsidRPr="006E453B" w:rsidRDefault="005671AA" w:rsidP="006E453B">
      <w:pPr>
        <w:spacing w:line="240" w:lineRule="auto"/>
        <w:ind w:left="284" w:hanging="142"/>
        <w:rPr>
          <w:rFonts w:ascii="Tenorite" w:hAnsi="Tenorite"/>
          <w:b/>
        </w:rPr>
      </w:pPr>
      <w:r w:rsidRPr="006E453B">
        <w:rPr>
          <w:rFonts w:ascii="Tenorite" w:hAnsi="Tenorite"/>
          <w:b/>
        </w:rPr>
        <w:t>/</w:t>
      </w:r>
      <w:r w:rsidR="00D025D4" w:rsidRPr="006E453B">
        <w:rPr>
          <w:rFonts w:ascii="Tenorite" w:hAnsi="Tenorite"/>
          <w:b/>
        </w:rPr>
        <w:tab/>
      </w:r>
    </w:p>
    <w:p w14:paraId="652FAA4C" w14:textId="77777777" w:rsidR="00D025D4" w:rsidRPr="005F3EA3" w:rsidRDefault="00D025D4" w:rsidP="00D025D4">
      <w:pPr>
        <w:spacing w:after="0" w:line="276" w:lineRule="auto"/>
        <w:ind w:left="709" w:hanging="283"/>
        <w:rPr>
          <w:rFonts w:ascii="Tenorite" w:hAnsi="Tenorite" w:cs="Tahoma"/>
          <w:b/>
          <w:color w:val="EF671A"/>
          <w:sz w:val="8"/>
          <w:szCs w:val="8"/>
          <w:u w:val="single"/>
        </w:rPr>
      </w:pPr>
    </w:p>
    <w:p w14:paraId="70A5146D" w14:textId="77777777" w:rsidR="00D025D4" w:rsidRPr="002D342B" w:rsidRDefault="00D025D4" w:rsidP="00D025D4">
      <w:pPr>
        <w:spacing w:after="0" w:line="276" w:lineRule="auto"/>
        <w:ind w:left="426" w:hanging="283"/>
        <w:rPr>
          <w:rFonts w:ascii="Tenorite" w:hAnsi="Tenorite" w:cs="Tahoma"/>
          <w:b/>
          <w:color w:val="EF671A"/>
          <w:sz w:val="24"/>
          <w:szCs w:val="24"/>
          <w:u w:val="single"/>
        </w:rPr>
      </w:pPr>
      <w:r w:rsidRPr="005F3EA3">
        <w:rPr>
          <w:rFonts w:ascii="Tenorite" w:hAnsi="Tenorite" w:cs="Tahoma"/>
          <w:b/>
          <w:color w:val="EF671A"/>
          <w:sz w:val="32"/>
          <w:szCs w:val="32"/>
          <w:u w:val="single"/>
        </w:rPr>
        <w:lastRenderedPageBreak/>
        <w:t>Partie 2 : Règlementation verticale</w:t>
      </w:r>
      <w:r w:rsidRPr="005F3EA3">
        <w:rPr>
          <w:rFonts w:ascii="Tenorite" w:hAnsi="Tenorite" w:cs="Tahoma"/>
          <w:b/>
          <w:color w:val="EF671A"/>
          <w:sz w:val="32"/>
          <w:szCs w:val="32"/>
        </w:rPr>
        <w:t xml:space="preserve"> : </w:t>
      </w:r>
      <w:r w:rsidRPr="002D342B">
        <w:rPr>
          <w:rFonts w:ascii="Tenorite" w:hAnsi="Tenorite" w:cs="Tahoma"/>
          <w:b/>
          <w:color w:val="EF671A"/>
          <w:sz w:val="24"/>
          <w:szCs w:val="24"/>
        </w:rPr>
        <w:t>Secteurs d’activité (Matières traitées et produits finis)</w:t>
      </w:r>
    </w:p>
    <w:p w14:paraId="227D4157" w14:textId="2F88B25E" w:rsidR="00D025D4" w:rsidRPr="005F3EA3" w:rsidRDefault="00E464D9" w:rsidP="00D025D4">
      <w:pPr>
        <w:shd w:val="clear" w:color="auto" w:fill="D9D9D9" w:themeFill="background1" w:themeFillShade="D9"/>
        <w:spacing w:after="0"/>
        <w:ind w:left="426" w:hanging="283"/>
        <w:rPr>
          <w:rFonts w:ascii="Tenorite" w:hAnsi="Tenorite"/>
          <w:b/>
          <w:color w:val="833C0B" w:themeColor="accent2" w:themeShade="80"/>
          <w:sz w:val="24"/>
          <w:szCs w:val="24"/>
        </w:rPr>
      </w:pPr>
      <w:r>
        <w:rPr>
          <w:rFonts w:ascii="Tenorite" w:hAnsi="Tenorite"/>
          <w:b/>
          <w:color w:val="833C0B" w:themeColor="accent2" w:themeShade="80"/>
          <w:sz w:val="24"/>
          <w:szCs w:val="24"/>
        </w:rPr>
        <w:t>CEREALES ET PRODUITS DU GRAIN</w:t>
      </w:r>
    </w:p>
    <w:p w14:paraId="3A4073C8" w14:textId="18075913" w:rsidR="00D025D4" w:rsidRPr="006E453B" w:rsidRDefault="00610190" w:rsidP="006E453B">
      <w:pPr>
        <w:spacing w:line="240" w:lineRule="auto"/>
        <w:ind w:left="284" w:hanging="142"/>
        <w:rPr>
          <w:rFonts w:ascii="Tenorite" w:hAnsi="Tenorite"/>
          <w:b/>
        </w:rPr>
      </w:pPr>
      <w:r w:rsidRPr="006E453B">
        <w:rPr>
          <w:rFonts w:ascii="Tenorite" w:hAnsi="Tenorite"/>
          <w:b/>
        </w:rPr>
        <w:t>/</w:t>
      </w:r>
    </w:p>
    <w:p w14:paraId="4F1C9134" w14:textId="77777777" w:rsidR="00610190" w:rsidRPr="00D926E8" w:rsidRDefault="00610190" w:rsidP="00610190">
      <w:pPr>
        <w:shd w:val="clear" w:color="auto" w:fill="D9D9D9" w:themeFill="background1" w:themeFillShade="D9"/>
        <w:spacing w:after="0" w:line="240" w:lineRule="auto"/>
        <w:ind w:left="426" w:hanging="283"/>
        <w:rPr>
          <w:rFonts w:ascii="Tenorite" w:hAnsi="Tenorite"/>
          <w:b/>
        </w:rPr>
      </w:pPr>
      <w:r w:rsidRPr="00D926E8">
        <w:rPr>
          <w:rFonts w:ascii="Tenorite" w:hAnsi="Tenorite"/>
          <w:b/>
          <w:color w:val="833C0B" w:themeColor="accent2" w:themeShade="80"/>
          <w:sz w:val="24"/>
          <w:szCs w:val="24"/>
        </w:rPr>
        <w:t>EAU</w:t>
      </w:r>
    </w:p>
    <w:p w14:paraId="15FB599A" w14:textId="77777777" w:rsidR="00610190" w:rsidRPr="00D926E8" w:rsidRDefault="00610190" w:rsidP="00610190">
      <w:pPr>
        <w:spacing w:after="0" w:line="240" w:lineRule="auto"/>
        <w:ind w:left="143"/>
        <w:jc w:val="both"/>
        <w:rPr>
          <w:rFonts w:ascii="Tenorite" w:hAnsi="Tenorite"/>
          <w:color w:val="C45911" w:themeColor="accent2" w:themeShade="BF"/>
          <w:sz w:val="20"/>
          <w:szCs w:val="18"/>
        </w:rPr>
      </w:pPr>
      <w:r w:rsidRPr="00D926E8">
        <w:rPr>
          <w:rFonts w:ascii="Tenorite" w:hAnsi="Tenorite"/>
          <w:color w:val="C45911" w:themeColor="accent2" w:themeShade="BF"/>
          <w:sz w:val="20"/>
          <w:szCs w:val="18"/>
        </w:rPr>
        <w:t>Eau potable</w:t>
      </w:r>
    </w:p>
    <w:p w14:paraId="66A91706" w14:textId="77777777" w:rsidR="00610190" w:rsidRPr="00D926E8" w:rsidRDefault="00610190" w:rsidP="00610190">
      <w:pPr>
        <w:spacing w:after="0" w:line="240" w:lineRule="auto"/>
        <w:ind w:left="143"/>
        <w:rPr>
          <w:rFonts w:ascii="Tenorite" w:hAnsi="Tenorite" w:cstheme="minorHAnsi"/>
          <w:color w:val="EE0000"/>
          <w:sz w:val="20"/>
          <w:szCs w:val="20"/>
        </w:rPr>
      </w:pPr>
      <w:hyperlink r:id="rId29" w:tgtFrame="_blank" w:history="1">
        <w:r w:rsidRPr="00D926E8">
          <w:rPr>
            <w:rStyle w:val="Lienhypertexte"/>
            <w:rFonts w:ascii="Tenorite" w:hAnsi="Tenorite" w:cstheme="minorHAnsi"/>
            <w:color w:val="EE0000"/>
            <w:sz w:val="20"/>
            <w:szCs w:val="20"/>
          </w:rPr>
          <w:t>Avis et rapport relatifs à l’identification de risques sanitaires en cas de diminution ou de suppression du chlore dans la filière de production et le réseau de distribution d’eau destinée à la consommation humaine (EDCH)</w:t>
        </w:r>
      </w:hyperlink>
      <w:r w:rsidRPr="00D926E8">
        <w:rPr>
          <w:rFonts w:ascii="Tenorite" w:hAnsi="Tenorite" w:cstheme="minorHAnsi"/>
          <w:color w:val="EE0000"/>
          <w:sz w:val="20"/>
          <w:szCs w:val="20"/>
        </w:rPr>
        <w:t xml:space="preserve"> – avis signé le 09/03/2026</w:t>
      </w:r>
    </w:p>
    <w:p w14:paraId="7FE53637" w14:textId="77777777" w:rsidR="00610190" w:rsidRPr="00D926E8" w:rsidRDefault="00610190" w:rsidP="00610190">
      <w:pPr>
        <w:pStyle w:val="Textebrut"/>
        <w:ind w:left="143"/>
        <w:rPr>
          <w:rFonts w:ascii="Tenorite" w:hAnsi="Tenorite"/>
          <w:sz w:val="20"/>
          <w:szCs w:val="20"/>
        </w:rPr>
      </w:pPr>
    </w:p>
    <w:p w14:paraId="175DD18C" w14:textId="77777777" w:rsidR="00610190" w:rsidRPr="00D926E8" w:rsidRDefault="00610190" w:rsidP="00610190">
      <w:pPr>
        <w:pStyle w:val="Textebrut"/>
        <w:ind w:left="143"/>
        <w:rPr>
          <w:rFonts w:ascii="Tenorite" w:hAnsi="Tenorite"/>
          <w:sz w:val="20"/>
          <w:szCs w:val="20"/>
        </w:rPr>
      </w:pPr>
      <w:hyperlink r:id="rId30" w:history="1">
        <w:r w:rsidRPr="00D926E8">
          <w:rPr>
            <w:rStyle w:val="Lienhypertexte"/>
            <w:rFonts w:ascii="Tenorite" w:hAnsi="Tenorite"/>
            <w:sz w:val="20"/>
            <w:szCs w:val="20"/>
          </w:rPr>
          <w:t>Arrêté</w:t>
        </w:r>
      </w:hyperlink>
      <w:r w:rsidRPr="00D926E8">
        <w:rPr>
          <w:rFonts w:ascii="Tenorite" w:hAnsi="Tenorite"/>
          <w:sz w:val="20"/>
          <w:szCs w:val="20"/>
        </w:rPr>
        <w:t xml:space="preserve"> du 12 mai 2026 modifiant l'arrêté du 22 juin 2012 relatif aux conditions de mise sur le marché et de mise en œuvre des modules de filtration membranaire utilisés pour le traitement d'eau destinée à la consommation humaine pris en application de l'article R. 1321-50 (I et II) du code de la santé publique (JORF 22/05/2026)</w:t>
      </w:r>
    </w:p>
    <w:p w14:paraId="19222CC7" w14:textId="77777777" w:rsidR="00610190" w:rsidRPr="005F3EA3" w:rsidRDefault="00610190" w:rsidP="00610190">
      <w:pPr>
        <w:shd w:val="clear" w:color="auto" w:fill="FFFFFF"/>
        <w:spacing w:after="0" w:line="240" w:lineRule="auto"/>
        <w:ind w:left="143"/>
        <w:jc w:val="both"/>
        <w:rPr>
          <w:rFonts w:ascii="Tenorite" w:hAnsi="Tenorite"/>
          <w:b/>
        </w:rPr>
      </w:pPr>
    </w:p>
    <w:p w14:paraId="57B86A9D" w14:textId="2320FAA8" w:rsidR="00E464D9" w:rsidRPr="005F3EA3" w:rsidRDefault="00E464D9" w:rsidP="00E464D9">
      <w:pPr>
        <w:shd w:val="clear" w:color="auto" w:fill="D9D9D9" w:themeFill="background1" w:themeFillShade="D9"/>
        <w:spacing w:after="0"/>
        <w:ind w:left="426" w:hanging="283"/>
        <w:rPr>
          <w:rFonts w:ascii="Tenorite" w:hAnsi="Tenorite"/>
          <w:b/>
        </w:rPr>
      </w:pPr>
      <w:r>
        <w:rPr>
          <w:rFonts w:ascii="Tenorite" w:hAnsi="Tenorite"/>
          <w:b/>
          <w:color w:val="833C0B" w:themeColor="accent2" w:themeShade="80"/>
          <w:sz w:val="24"/>
          <w:szCs w:val="24"/>
        </w:rPr>
        <w:t xml:space="preserve">HUILES ET CORPS GRAS </w:t>
      </w:r>
      <w:r w:rsidRPr="005F3EA3">
        <w:rPr>
          <w:rFonts w:ascii="Tenorite" w:hAnsi="Tenorite"/>
          <w:b/>
        </w:rPr>
        <w:t xml:space="preserve"> </w:t>
      </w:r>
    </w:p>
    <w:p w14:paraId="0001C8BC" w14:textId="77777777" w:rsidR="00610190" w:rsidRPr="00D926E8" w:rsidRDefault="00610190" w:rsidP="00610190">
      <w:pPr>
        <w:spacing w:after="0" w:line="240" w:lineRule="auto"/>
        <w:ind w:left="426" w:right="-284" w:hanging="283"/>
        <w:rPr>
          <w:rFonts w:ascii="Tenorite" w:hAnsi="Tenorite"/>
          <w:color w:val="C45911" w:themeColor="accent2" w:themeShade="BF"/>
          <w:sz w:val="20"/>
          <w:szCs w:val="18"/>
        </w:rPr>
      </w:pPr>
      <w:r w:rsidRPr="00D926E8">
        <w:rPr>
          <w:rFonts w:ascii="Tenorite" w:hAnsi="Tenorite"/>
          <w:color w:val="C45911" w:themeColor="accent2" w:themeShade="BF"/>
          <w:sz w:val="20"/>
          <w:szCs w:val="18"/>
        </w:rPr>
        <w:t>Huiles et graisses</w:t>
      </w:r>
    </w:p>
    <w:p w14:paraId="5F7E7F61" w14:textId="77777777" w:rsidR="00610190" w:rsidRPr="00D926E8" w:rsidRDefault="00610190" w:rsidP="00610190">
      <w:pPr>
        <w:pStyle w:val="Textebrut"/>
        <w:ind w:left="143"/>
        <w:rPr>
          <w:rFonts w:ascii="Tenorite" w:hAnsi="Tenorite"/>
          <w:sz w:val="20"/>
          <w:szCs w:val="20"/>
        </w:rPr>
      </w:pPr>
      <w:hyperlink r:id="rId31" w:history="1">
        <w:r w:rsidRPr="00D926E8">
          <w:rPr>
            <w:rStyle w:val="Lienhypertexte"/>
            <w:rFonts w:ascii="Tenorite" w:hAnsi="Tenorite"/>
            <w:sz w:val="20"/>
            <w:szCs w:val="20"/>
          </w:rPr>
          <w:t>Arrêté</w:t>
        </w:r>
      </w:hyperlink>
      <w:r w:rsidRPr="00D926E8">
        <w:rPr>
          <w:rFonts w:ascii="Tenorite" w:hAnsi="Tenorite"/>
          <w:sz w:val="20"/>
          <w:szCs w:val="20"/>
        </w:rPr>
        <w:t xml:space="preserve"> du 10 mai 2026 relatif à la modification du cahier des charges de l'appellation d'origine protégée « Huile de noix du Périgord » (JORF 14/05/2026)</w:t>
      </w:r>
    </w:p>
    <w:p w14:paraId="12E99717" w14:textId="77777777" w:rsidR="00610190" w:rsidRPr="00D926E8" w:rsidRDefault="00610190" w:rsidP="00610190">
      <w:pPr>
        <w:pStyle w:val="Textebrut"/>
        <w:ind w:left="143"/>
        <w:rPr>
          <w:rFonts w:ascii="Tenorite" w:hAnsi="Tenorite"/>
          <w:sz w:val="20"/>
          <w:szCs w:val="20"/>
        </w:rPr>
      </w:pPr>
    </w:p>
    <w:p w14:paraId="26560F72" w14:textId="77777777" w:rsidR="00610190" w:rsidRDefault="00610190" w:rsidP="00610190">
      <w:pPr>
        <w:pStyle w:val="Textebrut"/>
        <w:ind w:left="143"/>
        <w:rPr>
          <w:rFonts w:ascii="Tenorite" w:hAnsi="Tenorite"/>
          <w:sz w:val="20"/>
          <w:szCs w:val="20"/>
        </w:rPr>
      </w:pPr>
      <w:hyperlink r:id="rId32" w:history="1">
        <w:r w:rsidRPr="00D926E8">
          <w:rPr>
            <w:rStyle w:val="Lienhypertexte"/>
            <w:rFonts w:ascii="Tenorite" w:hAnsi="Tenorite"/>
            <w:b/>
            <w:bCs/>
            <w:sz w:val="20"/>
            <w:szCs w:val="20"/>
          </w:rPr>
          <w:t>Cahier des charges</w:t>
        </w:r>
      </w:hyperlink>
      <w:r w:rsidRPr="00D926E8">
        <w:rPr>
          <w:rFonts w:ascii="Tenorite" w:hAnsi="Tenorite"/>
          <w:sz w:val="20"/>
          <w:szCs w:val="20"/>
        </w:rPr>
        <w:t> du 21-05-2026 - Cahier des charges de l'appellation d'origine protégée « Huile de noix du Périgord » homologué par l’arrêté du 10 mai 2026 (DGPE)</w:t>
      </w:r>
    </w:p>
    <w:p w14:paraId="0E3F5A61" w14:textId="77777777" w:rsidR="00610190" w:rsidRPr="00D926E8" w:rsidRDefault="00610190" w:rsidP="00610190">
      <w:pPr>
        <w:pStyle w:val="Textebrut"/>
        <w:ind w:left="143"/>
        <w:rPr>
          <w:rFonts w:ascii="Tenorite" w:hAnsi="Tenorite"/>
          <w:sz w:val="20"/>
          <w:szCs w:val="20"/>
        </w:rPr>
      </w:pPr>
    </w:p>
    <w:p w14:paraId="7CCFE82A" w14:textId="77777777" w:rsidR="00D025D4" w:rsidRPr="005F3EA3" w:rsidRDefault="00D025D4" w:rsidP="00D025D4">
      <w:pPr>
        <w:shd w:val="clear" w:color="auto" w:fill="D9D9D9" w:themeFill="background1" w:themeFillShade="D9"/>
        <w:spacing w:after="0"/>
        <w:ind w:left="426" w:hanging="283"/>
        <w:rPr>
          <w:rFonts w:ascii="Tenorite" w:hAnsi="Tenorite"/>
          <w:b/>
        </w:rPr>
      </w:pPr>
      <w:r w:rsidRPr="005F3EA3">
        <w:rPr>
          <w:rFonts w:ascii="Tenorite" w:hAnsi="Tenorite"/>
          <w:b/>
          <w:color w:val="833C0B" w:themeColor="accent2" w:themeShade="80"/>
          <w:sz w:val="24"/>
          <w:szCs w:val="24"/>
        </w:rPr>
        <w:t>LAITS ET PRODUITS LAITIERS</w:t>
      </w:r>
      <w:r w:rsidRPr="005F3EA3">
        <w:rPr>
          <w:rFonts w:ascii="Tenorite" w:hAnsi="Tenorite"/>
          <w:b/>
        </w:rPr>
        <w:t xml:space="preserve"> </w:t>
      </w:r>
    </w:p>
    <w:p w14:paraId="1BD9FE19" w14:textId="77777777" w:rsidR="0012180A" w:rsidRDefault="0012180A" w:rsidP="00610190">
      <w:pPr>
        <w:spacing w:after="0" w:line="240" w:lineRule="auto"/>
        <w:ind w:left="426" w:hanging="283"/>
        <w:rPr>
          <w:rFonts w:ascii="Tenorite" w:hAnsi="Tenorite"/>
          <w:color w:val="C45911" w:themeColor="accent2" w:themeShade="BF"/>
          <w:sz w:val="20"/>
          <w:szCs w:val="18"/>
        </w:rPr>
      </w:pPr>
      <w:r w:rsidRPr="005F3EA3">
        <w:rPr>
          <w:rFonts w:ascii="Tenorite" w:hAnsi="Tenorite"/>
          <w:color w:val="C45911" w:themeColor="accent2" w:themeShade="BF"/>
          <w:sz w:val="20"/>
          <w:szCs w:val="18"/>
        </w:rPr>
        <w:t>Signes officiels de qualité</w:t>
      </w:r>
    </w:p>
    <w:p w14:paraId="2973ECF6" w14:textId="77777777" w:rsidR="00610190" w:rsidRPr="00D926E8" w:rsidRDefault="00610190" w:rsidP="00610190">
      <w:pPr>
        <w:spacing w:after="0" w:line="240" w:lineRule="auto"/>
        <w:ind w:left="143"/>
        <w:rPr>
          <w:rFonts w:ascii="Tenorite" w:hAnsi="Tenorite"/>
          <w:sz w:val="20"/>
          <w:szCs w:val="20"/>
        </w:rPr>
      </w:pPr>
      <w:hyperlink r:id="rId33" w:history="1">
        <w:r w:rsidRPr="00D926E8">
          <w:rPr>
            <w:rStyle w:val="Lienhypertexte"/>
            <w:rFonts w:ascii="Tenorite" w:hAnsi="Tenorite"/>
            <w:sz w:val="20"/>
            <w:szCs w:val="20"/>
          </w:rPr>
          <w:t>Publication</w:t>
        </w:r>
      </w:hyperlink>
      <w:r w:rsidRPr="00D926E8">
        <w:rPr>
          <w:rFonts w:ascii="Tenorite" w:hAnsi="Tenorite"/>
          <w:sz w:val="20"/>
          <w:szCs w:val="20"/>
        </w:rPr>
        <w:t xml:space="preserve"> de la communication d’une modification standard approuvée du cahier des charges d’une indication géographique conformément à l’article 5, paragraphe 4, du règlement délégué (UE) 2025/27 de la Commission [Morbier] (JOUE 08/05/2026)</w:t>
      </w:r>
      <w:r w:rsidRPr="00D926E8">
        <w:rPr>
          <w:rFonts w:ascii="Tenorite" w:hAnsi="Tenorite"/>
          <w:sz w:val="20"/>
          <w:szCs w:val="20"/>
        </w:rPr>
        <w:br/>
      </w:r>
    </w:p>
    <w:p w14:paraId="5F5666FE" w14:textId="77777777" w:rsidR="00610190" w:rsidRPr="00D926E8" w:rsidRDefault="00610190" w:rsidP="00610190">
      <w:pPr>
        <w:spacing w:after="0" w:line="240" w:lineRule="auto"/>
        <w:ind w:left="143"/>
        <w:rPr>
          <w:rFonts w:ascii="Tenorite" w:hAnsi="Tenorite"/>
          <w:sz w:val="20"/>
          <w:szCs w:val="20"/>
        </w:rPr>
      </w:pPr>
      <w:hyperlink r:id="rId34" w:history="1">
        <w:r w:rsidRPr="00D926E8">
          <w:rPr>
            <w:rStyle w:val="Lienhypertexte"/>
            <w:rFonts w:ascii="Tenorite" w:hAnsi="Tenorite"/>
            <w:sz w:val="20"/>
            <w:szCs w:val="20"/>
          </w:rPr>
          <w:t>Publication</w:t>
        </w:r>
      </w:hyperlink>
      <w:r w:rsidRPr="00D926E8">
        <w:rPr>
          <w:rFonts w:ascii="Tenorite" w:hAnsi="Tenorite"/>
          <w:sz w:val="20"/>
          <w:szCs w:val="20"/>
        </w:rPr>
        <w:t xml:space="preserve"> de la communication d’une modification standard approuvée du cahier des charges d’une indication géographique conformément à l’article 5, paragraphe 4, du règlement délégué (UE) 2025/27 de la Commission [Raclette de Savoie] (JOUE 12/05/2026)</w:t>
      </w:r>
    </w:p>
    <w:p w14:paraId="10B9FF02" w14:textId="77777777" w:rsidR="00610190" w:rsidRPr="00D926E8" w:rsidRDefault="00610190" w:rsidP="00610190">
      <w:pPr>
        <w:spacing w:after="0" w:line="240" w:lineRule="auto"/>
        <w:ind w:left="143"/>
        <w:rPr>
          <w:rFonts w:ascii="Tenorite" w:hAnsi="Tenorite"/>
          <w:sz w:val="20"/>
          <w:szCs w:val="20"/>
        </w:rPr>
      </w:pPr>
    </w:p>
    <w:p w14:paraId="4A78B64F" w14:textId="77777777" w:rsidR="00610190" w:rsidRPr="00D926E8" w:rsidRDefault="00610190" w:rsidP="00610190">
      <w:pPr>
        <w:spacing w:after="0" w:line="240" w:lineRule="auto"/>
        <w:ind w:left="143"/>
        <w:rPr>
          <w:rFonts w:ascii="Tenorite" w:hAnsi="Tenorite"/>
          <w:sz w:val="20"/>
          <w:szCs w:val="20"/>
        </w:rPr>
      </w:pPr>
      <w:hyperlink r:id="rId35" w:history="1">
        <w:r w:rsidRPr="00D926E8">
          <w:rPr>
            <w:rStyle w:val="Lienhypertexte"/>
            <w:rFonts w:ascii="Tenorite" w:hAnsi="Tenorite"/>
            <w:sz w:val="20"/>
            <w:szCs w:val="20"/>
          </w:rPr>
          <w:t>Publication</w:t>
        </w:r>
      </w:hyperlink>
      <w:r w:rsidRPr="00D926E8">
        <w:rPr>
          <w:rFonts w:ascii="Tenorite" w:hAnsi="Tenorite"/>
          <w:sz w:val="20"/>
          <w:szCs w:val="20"/>
        </w:rPr>
        <w:t xml:space="preserve"> de la communication d’une modification standard approuvée du cahier des charges d’une indication géographique conformément à l’article 5, paragraphe 4, du règlement délégué (UE) 2025/27 de la Commission [Comté] (JOUE 13/05/2026)</w:t>
      </w:r>
    </w:p>
    <w:p w14:paraId="7EF98ED1" w14:textId="77777777" w:rsidR="00610190" w:rsidRPr="00D926E8" w:rsidRDefault="00610190" w:rsidP="00610190">
      <w:pPr>
        <w:spacing w:after="0" w:line="240" w:lineRule="auto"/>
        <w:ind w:left="143"/>
        <w:rPr>
          <w:rFonts w:ascii="Tenorite" w:hAnsi="Tenorite"/>
        </w:rPr>
      </w:pPr>
      <w:hyperlink r:id="rId36" w:history="1">
        <w:r w:rsidRPr="00D926E8">
          <w:rPr>
            <w:rStyle w:val="Lienhypertexte"/>
            <w:rFonts w:ascii="Tenorite" w:hAnsi="Tenorite"/>
            <w:sz w:val="20"/>
            <w:szCs w:val="20"/>
          </w:rPr>
          <w:t>Publication</w:t>
        </w:r>
      </w:hyperlink>
      <w:r w:rsidRPr="00D926E8">
        <w:rPr>
          <w:rFonts w:ascii="Tenorite" w:hAnsi="Tenorite"/>
          <w:sz w:val="20"/>
          <w:szCs w:val="20"/>
        </w:rPr>
        <w:t xml:space="preserve"> de la communication d’une modification standard approuvée du cahier des charges d’une indication géographique conformément à l’article 5, paragraphe 4, du règlement délégué (UE) 2025/27 de la Commission </w:t>
      </w:r>
      <w:r w:rsidRPr="00D926E8">
        <w:rPr>
          <w:rFonts w:ascii="Tenorite" w:hAnsi="Tenorite"/>
        </w:rPr>
        <w:t>[Roquefort] (JOUE 27/05/2026)</w:t>
      </w:r>
    </w:p>
    <w:p w14:paraId="14F5C586" w14:textId="77777777" w:rsidR="00D025D4" w:rsidRPr="005F3EA3" w:rsidRDefault="00D025D4" w:rsidP="00D025D4">
      <w:pPr>
        <w:shd w:val="clear" w:color="auto" w:fill="D9D9D9" w:themeFill="background1" w:themeFillShade="D9"/>
        <w:spacing w:after="0"/>
        <w:ind w:left="426" w:hanging="283"/>
        <w:rPr>
          <w:rFonts w:ascii="Tenorite" w:hAnsi="Tenorite"/>
          <w:b/>
          <w:color w:val="833C0B" w:themeColor="accent2" w:themeShade="80"/>
          <w:sz w:val="24"/>
          <w:szCs w:val="24"/>
        </w:rPr>
      </w:pPr>
      <w:r w:rsidRPr="005F3EA3">
        <w:rPr>
          <w:rFonts w:ascii="Tenorite" w:hAnsi="Tenorite"/>
          <w:b/>
          <w:color w:val="833C0B" w:themeColor="accent2" w:themeShade="80"/>
          <w:sz w:val="24"/>
          <w:szCs w:val="24"/>
        </w:rPr>
        <w:t xml:space="preserve">ŒUFS ET OVOPRODUITS </w:t>
      </w:r>
    </w:p>
    <w:p w14:paraId="33A76140" w14:textId="125A9384" w:rsidR="00D025D4" w:rsidRPr="006E453B" w:rsidRDefault="005671AA" w:rsidP="006E453B">
      <w:pPr>
        <w:spacing w:line="240" w:lineRule="auto"/>
        <w:ind w:left="284" w:hanging="142"/>
        <w:rPr>
          <w:rFonts w:ascii="Tenorite" w:hAnsi="Tenorite"/>
          <w:b/>
        </w:rPr>
      </w:pPr>
      <w:r w:rsidRPr="006E453B">
        <w:rPr>
          <w:rFonts w:ascii="Tenorite" w:hAnsi="Tenorite"/>
          <w:b/>
        </w:rPr>
        <w:t>/</w:t>
      </w:r>
    </w:p>
    <w:p w14:paraId="5B9F02A9" w14:textId="77777777" w:rsidR="00D025D4" w:rsidRPr="005F3EA3" w:rsidRDefault="00D025D4" w:rsidP="00D025D4">
      <w:pPr>
        <w:shd w:val="clear" w:color="auto" w:fill="D9D9D9" w:themeFill="background1" w:themeFillShade="D9"/>
        <w:spacing w:after="0"/>
        <w:ind w:left="426" w:hanging="283"/>
        <w:rPr>
          <w:rFonts w:ascii="Tenorite" w:hAnsi="Tenorite"/>
          <w:b/>
          <w:color w:val="833C0B" w:themeColor="accent2" w:themeShade="80"/>
          <w:sz w:val="24"/>
          <w:szCs w:val="24"/>
        </w:rPr>
      </w:pPr>
      <w:r w:rsidRPr="005F3EA3">
        <w:rPr>
          <w:rFonts w:ascii="Tenorite" w:hAnsi="Tenorite"/>
          <w:b/>
          <w:color w:val="833C0B" w:themeColor="accent2" w:themeShade="80"/>
          <w:sz w:val="24"/>
          <w:szCs w:val="24"/>
        </w:rPr>
        <w:t xml:space="preserve">PRODUITS SUCRES </w:t>
      </w:r>
    </w:p>
    <w:p w14:paraId="509114A8" w14:textId="184D495D" w:rsidR="007A1A3F" w:rsidRPr="006E453B" w:rsidRDefault="00610190" w:rsidP="006E453B">
      <w:pPr>
        <w:spacing w:line="240" w:lineRule="auto"/>
        <w:ind w:left="284" w:hanging="142"/>
        <w:rPr>
          <w:b/>
        </w:rPr>
      </w:pPr>
      <w:r w:rsidRPr="006E453B">
        <w:rPr>
          <w:rFonts w:ascii="Tenorite" w:hAnsi="Tenorite"/>
          <w:b/>
        </w:rPr>
        <w:t>/</w:t>
      </w:r>
    </w:p>
    <w:p w14:paraId="12B01DA5" w14:textId="77777777" w:rsidR="00D025D4" w:rsidRPr="005F3EA3" w:rsidRDefault="00D025D4" w:rsidP="00D025D4">
      <w:pPr>
        <w:shd w:val="clear" w:color="auto" w:fill="D9D9D9" w:themeFill="background1" w:themeFillShade="D9"/>
        <w:spacing w:after="0"/>
        <w:ind w:left="426" w:hanging="283"/>
        <w:rPr>
          <w:rFonts w:ascii="Tenorite" w:hAnsi="Tenorite"/>
          <w:b/>
          <w:color w:val="833C0B" w:themeColor="accent2" w:themeShade="80"/>
          <w:sz w:val="24"/>
          <w:szCs w:val="24"/>
        </w:rPr>
      </w:pPr>
      <w:r w:rsidRPr="005F3EA3">
        <w:rPr>
          <w:rFonts w:ascii="Tenorite" w:hAnsi="Tenorite"/>
          <w:b/>
          <w:color w:val="833C0B" w:themeColor="accent2" w:themeShade="80"/>
          <w:sz w:val="24"/>
          <w:szCs w:val="24"/>
        </w:rPr>
        <w:t xml:space="preserve">VIANDES ET PRODUITS À BASE DE VIANDE </w:t>
      </w:r>
    </w:p>
    <w:p w14:paraId="096DF55F" w14:textId="77777777" w:rsidR="00D025D4" w:rsidRDefault="00D025D4" w:rsidP="006E453B">
      <w:pPr>
        <w:spacing w:after="0" w:line="240" w:lineRule="auto"/>
        <w:ind w:left="426" w:hanging="283"/>
        <w:rPr>
          <w:rFonts w:ascii="Tenorite" w:hAnsi="Tenorite"/>
          <w:color w:val="C45911" w:themeColor="accent2" w:themeShade="BF"/>
          <w:sz w:val="20"/>
          <w:szCs w:val="18"/>
        </w:rPr>
      </w:pPr>
      <w:r w:rsidRPr="005F3EA3">
        <w:rPr>
          <w:rFonts w:ascii="Tenorite" w:hAnsi="Tenorite"/>
          <w:color w:val="C45911" w:themeColor="accent2" w:themeShade="BF"/>
          <w:sz w:val="20"/>
          <w:szCs w:val="18"/>
        </w:rPr>
        <w:t>Bovins</w:t>
      </w:r>
      <w:r w:rsidRPr="005F3EA3">
        <w:rPr>
          <w:rFonts w:ascii="Tenorite" w:hAnsi="Tenorite"/>
          <w:color w:val="C45911" w:themeColor="accent2" w:themeShade="BF"/>
          <w:sz w:val="20"/>
          <w:szCs w:val="18"/>
        </w:rPr>
        <w:tab/>
      </w:r>
    </w:p>
    <w:p w14:paraId="63DBA7B8" w14:textId="24482766" w:rsidR="000249F5" w:rsidRDefault="000249F5" w:rsidP="006E453B">
      <w:pPr>
        <w:shd w:val="clear" w:color="auto" w:fill="FFFFFF"/>
        <w:spacing w:after="0" w:line="240" w:lineRule="auto"/>
        <w:ind w:left="143"/>
        <w:jc w:val="both"/>
        <w:rPr>
          <w:rFonts w:ascii="Tenorite" w:eastAsia="Times New Roman" w:hAnsi="Tenorite" w:cs="Times New Roman"/>
          <w:b/>
          <w:bCs/>
          <w:i/>
          <w:iCs/>
          <w:sz w:val="20"/>
          <w:szCs w:val="20"/>
          <w:lang w:eastAsia="fr-FR"/>
        </w:rPr>
      </w:pPr>
      <w:proofErr w:type="gramStart"/>
      <w:r w:rsidRPr="00E1364C">
        <w:rPr>
          <w:rFonts w:ascii="Tenorite" w:eastAsia="Times New Roman" w:hAnsi="Tenorite" w:cs="Times New Roman"/>
          <w:b/>
          <w:bCs/>
          <w:i/>
          <w:iCs/>
          <w:sz w:val="20"/>
          <w:szCs w:val="20"/>
          <w:lang w:eastAsia="fr-FR"/>
        </w:rPr>
        <w:t>Maladies</w:t>
      </w:r>
      <w:r>
        <w:rPr>
          <w:rFonts w:ascii="Tenorite" w:eastAsia="Times New Roman" w:hAnsi="Tenorite" w:cs="Times New Roman"/>
          <w:b/>
          <w:bCs/>
          <w:i/>
          <w:iCs/>
          <w:sz w:val="20"/>
          <w:szCs w:val="20"/>
          <w:lang w:eastAsia="fr-FR"/>
        </w:rPr>
        <w:t xml:space="preserve">  bovins</w:t>
      </w:r>
      <w:proofErr w:type="gramEnd"/>
    </w:p>
    <w:p w14:paraId="610E985C" w14:textId="77777777" w:rsidR="00610190" w:rsidRDefault="00610190" w:rsidP="006E453B">
      <w:pPr>
        <w:shd w:val="clear" w:color="auto" w:fill="FFFFFF"/>
        <w:spacing w:after="0" w:line="240" w:lineRule="auto"/>
        <w:ind w:left="143"/>
        <w:jc w:val="both"/>
        <w:rPr>
          <w:rFonts w:ascii="Tenorite" w:hAnsi="Tenorite"/>
          <w:sz w:val="20"/>
          <w:szCs w:val="20"/>
        </w:rPr>
      </w:pPr>
      <w:hyperlink r:id="rId37" w:history="1">
        <w:r w:rsidRPr="00A46CD4">
          <w:rPr>
            <w:rStyle w:val="Lienhypertexte"/>
            <w:rFonts w:ascii="Tenorite" w:hAnsi="Tenorite"/>
            <w:sz w:val="20"/>
            <w:szCs w:val="20"/>
          </w:rPr>
          <w:t>Arrêté</w:t>
        </w:r>
      </w:hyperlink>
      <w:r w:rsidRPr="00A46CD4">
        <w:rPr>
          <w:rFonts w:ascii="Tenorite" w:hAnsi="Tenorite"/>
          <w:sz w:val="20"/>
          <w:szCs w:val="20"/>
        </w:rPr>
        <w:t xml:space="preserve"> du 27 avril 2026 modifiant l'arrêté du 16 juillet 2025 fixant les mesures de surveillance, de prévention et de lutte relatives à la lutte contre la dermatose nodulaire contagieuse sur le territoire métropolitain (JORF 02/05/2026)</w:t>
      </w:r>
    </w:p>
    <w:p w14:paraId="07F7E2E8" w14:textId="77777777" w:rsidR="00610190" w:rsidRDefault="00610190" w:rsidP="006E453B">
      <w:pPr>
        <w:shd w:val="clear" w:color="auto" w:fill="FFFFFF"/>
        <w:spacing w:after="0" w:line="240" w:lineRule="auto"/>
        <w:ind w:left="143"/>
        <w:jc w:val="both"/>
        <w:rPr>
          <w:rFonts w:ascii="Tenorite" w:eastAsia="Times New Roman" w:hAnsi="Tenorite" w:cs="Times New Roman"/>
          <w:color w:val="636363"/>
          <w:sz w:val="20"/>
          <w:szCs w:val="20"/>
          <w:lang w:eastAsia="fr-FR"/>
        </w:rPr>
      </w:pPr>
      <w:r w:rsidRPr="00A46CD4">
        <w:rPr>
          <w:rFonts w:ascii="Tenorite" w:hAnsi="Tenorite"/>
          <w:sz w:val="20"/>
          <w:szCs w:val="20"/>
        </w:rPr>
        <w:br/>
      </w:r>
      <w:r w:rsidRPr="00A46CD4">
        <w:rPr>
          <w:rFonts w:ascii="Tenorite" w:eastAsia="Times New Roman" w:hAnsi="Tenorite" w:cs="Times New Roman"/>
          <w:b/>
          <w:bCs/>
          <w:color w:val="636363"/>
          <w:sz w:val="20"/>
          <w:szCs w:val="20"/>
          <w:lang w:eastAsia="fr-FR"/>
        </w:rPr>
        <w:t>Instruction technique </w:t>
      </w:r>
      <w:hyperlink r:id="rId38" w:history="1">
        <w:r w:rsidRPr="00A46CD4">
          <w:rPr>
            <w:rFonts w:ascii="Tenorite" w:eastAsia="Times New Roman" w:hAnsi="Tenorite" w:cs="Times New Roman"/>
            <w:color w:val="000091"/>
            <w:sz w:val="20"/>
            <w:szCs w:val="20"/>
            <w:lang w:eastAsia="fr-FR"/>
          </w:rPr>
          <w:t>DGAL/SDSBEA/2026-265</w:t>
        </w:r>
      </w:hyperlink>
      <w:r w:rsidRPr="00A46CD4">
        <w:rPr>
          <w:rFonts w:ascii="Tenorite" w:eastAsia="Times New Roman" w:hAnsi="Tenorite" w:cs="Times New Roman"/>
          <w:color w:val="636363"/>
          <w:sz w:val="20"/>
          <w:szCs w:val="20"/>
          <w:lang w:eastAsia="fr-FR"/>
        </w:rPr>
        <w:t> du 06-05-2026 - Plan de vaccination d’urgence des bovins contre la dermatose nodulaire contagieuse pour l’année 2026. (DGAL)</w:t>
      </w:r>
    </w:p>
    <w:p w14:paraId="4BC89DD2" w14:textId="77777777" w:rsidR="00610190" w:rsidRPr="00A46CD4" w:rsidRDefault="00610190" w:rsidP="006E453B">
      <w:pPr>
        <w:shd w:val="clear" w:color="auto" w:fill="FFFFFF"/>
        <w:spacing w:after="0" w:line="240" w:lineRule="auto"/>
        <w:ind w:left="143"/>
        <w:jc w:val="both"/>
        <w:rPr>
          <w:rFonts w:ascii="Tenorite" w:hAnsi="Tenorite"/>
          <w:sz w:val="20"/>
          <w:szCs w:val="20"/>
        </w:rPr>
      </w:pPr>
    </w:p>
    <w:p w14:paraId="6A5B5C53" w14:textId="77777777" w:rsidR="00610190" w:rsidRPr="00A46CD4" w:rsidRDefault="00610190" w:rsidP="006E453B">
      <w:pPr>
        <w:spacing w:after="0" w:line="240" w:lineRule="auto"/>
        <w:ind w:left="143"/>
        <w:jc w:val="both"/>
        <w:rPr>
          <w:rFonts w:ascii="Tenorite" w:eastAsia="Times New Roman" w:hAnsi="Tenorite" w:cs="Times New Roman"/>
          <w:color w:val="636363"/>
          <w:sz w:val="20"/>
          <w:szCs w:val="20"/>
          <w:lang w:eastAsia="fr-FR"/>
        </w:rPr>
      </w:pPr>
      <w:hyperlink r:id="rId39" w:history="1">
        <w:r w:rsidRPr="00A46CD4">
          <w:rPr>
            <w:rStyle w:val="Lienhypertexte"/>
            <w:rFonts w:ascii="Tenorite" w:eastAsia="Times New Roman" w:hAnsi="Tenorite" w:cs="Times New Roman"/>
            <w:sz w:val="20"/>
            <w:szCs w:val="20"/>
            <w:lang w:eastAsia="fr-FR"/>
          </w:rPr>
          <w:t>Décision</w:t>
        </w:r>
      </w:hyperlink>
      <w:r w:rsidRPr="00A46CD4">
        <w:rPr>
          <w:rFonts w:ascii="Tenorite" w:eastAsia="Times New Roman" w:hAnsi="Tenorite" w:cs="Times New Roman"/>
          <w:color w:val="636363"/>
          <w:sz w:val="20"/>
          <w:szCs w:val="20"/>
          <w:lang w:eastAsia="fr-FR"/>
        </w:rPr>
        <w:t xml:space="preserve"> d’exécution (UE) 2026/1145 de la Commission du 20 mai 2026 modifiant les annexes de la décision d’exécution (UE) 2025/1582 concernant certaines mesures d’urgence relatives à l’infection par le virus de la dermatose nodulaire contagieuse en Italie (JOUE 22/05/2026)</w:t>
      </w:r>
    </w:p>
    <w:p w14:paraId="4DC02352" w14:textId="77777777" w:rsidR="009B0204" w:rsidRPr="003C17FD" w:rsidRDefault="009B0204" w:rsidP="006E453B">
      <w:pPr>
        <w:shd w:val="clear" w:color="auto" w:fill="FFFFFF"/>
        <w:spacing w:after="0" w:line="240" w:lineRule="auto"/>
        <w:jc w:val="both"/>
        <w:rPr>
          <w:rFonts w:ascii="Tenorite" w:hAnsi="Tenorite"/>
          <w:sz w:val="20"/>
          <w:szCs w:val="20"/>
        </w:rPr>
      </w:pPr>
    </w:p>
    <w:p w14:paraId="792955C3" w14:textId="2BF02485" w:rsidR="00E464D9" w:rsidRDefault="00E464D9" w:rsidP="006E453B">
      <w:pPr>
        <w:spacing w:after="0" w:line="240" w:lineRule="auto"/>
        <w:ind w:left="426" w:hanging="283"/>
        <w:rPr>
          <w:rFonts w:ascii="Tenorite" w:hAnsi="Tenorite"/>
          <w:color w:val="C45911" w:themeColor="accent2" w:themeShade="BF"/>
          <w:sz w:val="20"/>
          <w:szCs w:val="18"/>
        </w:rPr>
      </w:pPr>
      <w:r w:rsidRPr="005F3EA3">
        <w:rPr>
          <w:rFonts w:ascii="Tenorite" w:hAnsi="Tenorite"/>
          <w:color w:val="C45911" w:themeColor="accent2" w:themeShade="BF"/>
          <w:sz w:val="20"/>
          <w:szCs w:val="18"/>
        </w:rPr>
        <w:t>Ovins</w:t>
      </w:r>
      <w:r>
        <w:rPr>
          <w:rFonts w:ascii="Tenorite" w:hAnsi="Tenorite"/>
          <w:color w:val="C45911" w:themeColor="accent2" w:themeShade="BF"/>
          <w:sz w:val="20"/>
          <w:szCs w:val="18"/>
        </w:rPr>
        <w:t>, caprins</w:t>
      </w:r>
    </w:p>
    <w:p w14:paraId="634E89F8" w14:textId="453596A9" w:rsidR="000249F5" w:rsidRDefault="000249F5" w:rsidP="006E453B">
      <w:pPr>
        <w:shd w:val="clear" w:color="auto" w:fill="FFFFFF"/>
        <w:spacing w:after="0" w:line="240" w:lineRule="auto"/>
        <w:ind w:left="143"/>
        <w:jc w:val="both"/>
        <w:rPr>
          <w:rFonts w:ascii="Tenorite" w:eastAsia="Times New Roman" w:hAnsi="Tenorite" w:cs="Times New Roman"/>
          <w:b/>
          <w:bCs/>
          <w:i/>
          <w:iCs/>
          <w:sz w:val="20"/>
          <w:szCs w:val="20"/>
          <w:lang w:eastAsia="fr-FR"/>
        </w:rPr>
      </w:pPr>
      <w:proofErr w:type="gramStart"/>
      <w:r w:rsidRPr="00E1364C">
        <w:rPr>
          <w:rFonts w:ascii="Tenorite" w:eastAsia="Times New Roman" w:hAnsi="Tenorite" w:cs="Times New Roman"/>
          <w:b/>
          <w:bCs/>
          <w:i/>
          <w:iCs/>
          <w:sz w:val="20"/>
          <w:szCs w:val="20"/>
          <w:lang w:eastAsia="fr-FR"/>
        </w:rPr>
        <w:t>Maladies</w:t>
      </w:r>
      <w:r>
        <w:rPr>
          <w:rFonts w:ascii="Tenorite" w:eastAsia="Times New Roman" w:hAnsi="Tenorite" w:cs="Times New Roman"/>
          <w:b/>
          <w:bCs/>
          <w:i/>
          <w:iCs/>
          <w:sz w:val="20"/>
          <w:szCs w:val="20"/>
          <w:lang w:eastAsia="fr-FR"/>
        </w:rPr>
        <w:t xml:space="preserve">  ovins</w:t>
      </w:r>
      <w:proofErr w:type="gramEnd"/>
      <w:r>
        <w:rPr>
          <w:rFonts w:ascii="Tenorite" w:eastAsia="Times New Roman" w:hAnsi="Tenorite" w:cs="Times New Roman"/>
          <w:b/>
          <w:bCs/>
          <w:i/>
          <w:iCs/>
          <w:sz w:val="20"/>
          <w:szCs w:val="20"/>
          <w:lang w:eastAsia="fr-FR"/>
        </w:rPr>
        <w:t> /caprins</w:t>
      </w:r>
    </w:p>
    <w:p w14:paraId="501F3C9A" w14:textId="77777777" w:rsidR="00610190" w:rsidRDefault="00610190" w:rsidP="006E453B">
      <w:pPr>
        <w:spacing w:after="0" w:line="240" w:lineRule="auto"/>
        <w:ind w:left="143"/>
        <w:jc w:val="both"/>
        <w:rPr>
          <w:rFonts w:ascii="Tenorite" w:eastAsia="Times New Roman" w:hAnsi="Tenorite" w:cs="Times New Roman"/>
          <w:color w:val="636363"/>
          <w:sz w:val="20"/>
          <w:szCs w:val="20"/>
          <w:lang w:eastAsia="fr-FR"/>
        </w:rPr>
      </w:pPr>
      <w:hyperlink r:id="rId40" w:history="1">
        <w:r w:rsidRPr="00A46CD4">
          <w:rPr>
            <w:rFonts w:ascii="Tenorite" w:eastAsia="Times New Roman" w:hAnsi="Tenorite" w:cs="Times New Roman"/>
            <w:b/>
            <w:bCs/>
            <w:color w:val="000091"/>
            <w:sz w:val="20"/>
            <w:szCs w:val="20"/>
            <w:shd w:val="clear" w:color="auto" w:fill="FFFFFF"/>
            <w:lang w:eastAsia="fr-FR"/>
          </w:rPr>
          <w:t>Décision</w:t>
        </w:r>
      </w:hyperlink>
      <w:r w:rsidRPr="00A46CD4">
        <w:rPr>
          <w:rFonts w:ascii="Tenorite" w:eastAsia="Times New Roman" w:hAnsi="Tenorite" w:cs="Times New Roman"/>
          <w:color w:val="636363"/>
          <w:sz w:val="20"/>
          <w:szCs w:val="20"/>
          <w:shd w:val="clear" w:color="auto" w:fill="FFFFFF"/>
          <w:lang w:eastAsia="fr-FR"/>
        </w:rPr>
        <w:t xml:space="preserve"> du 21-05-2026 - </w:t>
      </w:r>
      <w:r w:rsidRPr="00A46CD4">
        <w:rPr>
          <w:rFonts w:ascii="Tenorite" w:eastAsia="Times New Roman" w:hAnsi="Tenorite" w:cs="Times New Roman"/>
          <w:color w:val="636363"/>
          <w:sz w:val="20"/>
          <w:szCs w:val="20"/>
          <w:lang w:eastAsia="fr-FR"/>
        </w:rPr>
        <w:t>Décision zone vaccinale FCO BTV1 (DGAL)</w:t>
      </w:r>
    </w:p>
    <w:p w14:paraId="5964C240" w14:textId="77777777" w:rsidR="00610190" w:rsidRDefault="00610190" w:rsidP="006E453B">
      <w:pPr>
        <w:spacing w:after="0" w:line="240" w:lineRule="auto"/>
        <w:ind w:left="143"/>
        <w:jc w:val="both"/>
        <w:rPr>
          <w:rFonts w:ascii="Tenorite" w:eastAsia="Times New Roman" w:hAnsi="Tenorite" w:cs="Times New Roman"/>
          <w:color w:val="636363"/>
          <w:sz w:val="20"/>
          <w:szCs w:val="20"/>
          <w:lang w:eastAsia="fr-FR"/>
        </w:rPr>
      </w:pPr>
      <w:r w:rsidRPr="00A46CD4">
        <w:rPr>
          <w:rFonts w:ascii="Tenorite" w:eastAsia="Times New Roman" w:hAnsi="Tenorite" w:cs="Times New Roman"/>
          <w:color w:val="636363"/>
          <w:sz w:val="20"/>
          <w:szCs w:val="20"/>
          <w:lang w:eastAsia="fr-FR"/>
        </w:rPr>
        <w:lastRenderedPageBreak/>
        <w:br/>
      </w:r>
      <w:hyperlink r:id="rId41" w:history="1">
        <w:r w:rsidRPr="00A46CD4">
          <w:rPr>
            <w:rStyle w:val="Lienhypertexte"/>
            <w:rFonts w:ascii="Tenorite" w:eastAsia="Times New Roman" w:hAnsi="Tenorite" w:cs="Times New Roman"/>
            <w:sz w:val="20"/>
            <w:szCs w:val="20"/>
            <w:lang w:eastAsia="fr-FR"/>
          </w:rPr>
          <w:t>Arrêté</w:t>
        </w:r>
      </w:hyperlink>
      <w:r w:rsidRPr="00A46CD4">
        <w:rPr>
          <w:rFonts w:ascii="Tenorite" w:eastAsia="Times New Roman" w:hAnsi="Tenorite" w:cs="Times New Roman"/>
          <w:color w:val="636363"/>
          <w:sz w:val="20"/>
          <w:szCs w:val="20"/>
          <w:lang w:eastAsia="fr-FR"/>
        </w:rPr>
        <w:t xml:space="preserve"> du 26 mai 2026 modifiant l'arrêté du 4 juillet 2024 fixant les mesures de surveillance, de prévention et de lutte relatives à la lutte contre la fièvre catarrhale ovine sur le territoire métropolitain (JORF 31/05/2026)</w:t>
      </w:r>
    </w:p>
    <w:p w14:paraId="097CF715" w14:textId="77777777" w:rsidR="00610190" w:rsidRPr="00A46CD4" w:rsidRDefault="00610190" w:rsidP="006E453B">
      <w:pPr>
        <w:spacing w:after="0" w:line="240" w:lineRule="auto"/>
        <w:ind w:left="143"/>
        <w:jc w:val="both"/>
        <w:rPr>
          <w:rFonts w:ascii="Tenorite" w:eastAsia="Times New Roman" w:hAnsi="Tenorite" w:cs="Times New Roman"/>
          <w:color w:val="636363"/>
          <w:sz w:val="20"/>
          <w:szCs w:val="20"/>
          <w:lang w:eastAsia="fr-FR"/>
        </w:rPr>
      </w:pPr>
    </w:p>
    <w:p w14:paraId="1A1F8E56" w14:textId="77777777" w:rsidR="00610190" w:rsidRDefault="00610190" w:rsidP="006E453B">
      <w:pPr>
        <w:spacing w:after="0" w:line="240" w:lineRule="auto"/>
        <w:ind w:left="143"/>
        <w:jc w:val="both"/>
        <w:rPr>
          <w:rFonts w:ascii="Tenorite" w:eastAsia="Times New Roman" w:hAnsi="Tenorite" w:cs="Times New Roman"/>
          <w:color w:val="636363"/>
          <w:sz w:val="20"/>
          <w:szCs w:val="20"/>
          <w:lang w:eastAsia="fr-FR"/>
        </w:rPr>
      </w:pPr>
      <w:hyperlink r:id="rId42" w:history="1">
        <w:r w:rsidRPr="00A46CD4">
          <w:rPr>
            <w:rStyle w:val="Lienhypertexte"/>
            <w:rFonts w:ascii="Tenorite" w:eastAsia="Times New Roman" w:hAnsi="Tenorite" w:cs="Times New Roman"/>
            <w:sz w:val="20"/>
            <w:szCs w:val="20"/>
            <w:lang w:eastAsia="fr-FR"/>
          </w:rPr>
          <w:t>Décision</w:t>
        </w:r>
      </w:hyperlink>
      <w:r w:rsidRPr="00A46CD4">
        <w:rPr>
          <w:rFonts w:ascii="Tenorite" w:eastAsia="Times New Roman" w:hAnsi="Tenorite" w:cs="Times New Roman"/>
          <w:color w:val="636363"/>
          <w:sz w:val="20"/>
          <w:szCs w:val="20"/>
          <w:lang w:eastAsia="fr-FR"/>
        </w:rPr>
        <w:t xml:space="preserve"> d’exécution (UE) 2026/1038 de la Commission du 5 mai 2026 modifiant la décision d’exécution (UE) 2026/820 concernant certaines mesures d’urgence relatives à la fièvre aphteuse en Grèce (JOUE 07/05/2026)</w:t>
      </w:r>
    </w:p>
    <w:p w14:paraId="47A44B70" w14:textId="77777777" w:rsidR="00610190" w:rsidRPr="00A46CD4" w:rsidRDefault="00610190" w:rsidP="006E453B">
      <w:pPr>
        <w:spacing w:after="0" w:line="240" w:lineRule="auto"/>
        <w:ind w:left="143"/>
        <w:jc w:val="both"/>
        <w:rPr>
          <w:rFonts w:ascii="Tenorite" w:eastAsia="Times New Roman" w:hAnsi="Tenorite" w:cs="Times New Roman"/>
          <w:color w:val="636363"/>
          <w:sz w:val="20"/>
          <w:szCs w:val="20"/>
          <w:lang w:eastAsia="fr-FR"/>
        </w:rPr>
      </w:pPr>
    </w:p>
    <w:p w14:paraId="04EEEB7F" w14:textId="77777777" w:rsidR="00610190" w:rsidRPr="00A46CD4" w:rsidRDefault="00610190" w:rsidP="006E453B">
      <w:pPr>
        <w:spacing w:after="0" w:line="240" w:lineRule="auto"/>
        <w:ind w:left="143"/>
        <w:jc w:val="both"/>
        <w:rPr>
          <w:rFonts w:ascii="Tenorite" w:eastAsia="Times New Roman" w:hAnsi="Tenorite" w:cs="Times New Roman"/>
          <w:color w:val="636363"/>
          <w:sz w:val="20"/>
          <w:szCs w:val="20"/>
          <w:lang w:eastAsia="fr-FR"/>
        </w:rPr>
      </w:pPr>
      <w:hyperlink r:id="rId43" w:history="1">
        <w:r w:rsidRPr="00A46CD4">
          <w:rPr>
            <w:rStyle w:val="Lienhypertexte"/>
            <w:rFonts w:ascii="Tenorite" w:eastAsia="Times New Roman" w:hAnsi="Tenorite" w:cs="Times New Roman"/>
            <w:sz w:val="20"/>
            <w:szCs w:val="20"/>
            <w:lang w:eastAsia="fr-FR"/>
          </w:rPr>
          <w:t>Décision</w:t>
        </w:r>
      </w:hyperlink>
      <w:r w:rsidRPr="00A46CD4">
        <w:rPr>
          <w:rFonts w:ascii="Tenorite" w:eastAsia="Times New Roman" w:hAnsi="Tenorite" w:cs="Times New Roman"/>
          <w:color w:val="636363"/>
          <w:sz w:val="20"/>
          <w:szCs w:val="20"/>
          <w:lang w:eastAsia="fr-FR"/>
        </w:rPr>
        <w:t xml:space="preserve"> d’exécution (UE) 2026/1108 de la Commission du 13 mai 2026 concernant certaines mesures d’urgence relatives à la clavelée et à la variole caprine en Roumanie et abrogeant la décision d’exécution (UE) 2026/1015 et la décision d’exécution (UE) 2025/2415 (JOUE 20/05/2026)</w:t>
      </w:r>
    </w:p>
    <w:p w14:paraId="78B99D9A" w14:textId="77777777" w:rsidR="005671AA" w:rsidRDefault="005671AA" w:rsidP="006E453B">
      <w:pPr>
        <w:spacing w:after="0" w:line="240" w:lineRule="auto"/>
        <w:ind w:left="426" w:hanging="283"/>
        <w:rPr>
          <w:rFonts w:ascii="Tenorite" w:hAnsi="Tenorite"/>
          <w:color w:val="C45911" w:themeColor="accent2" w:themeShade="BF"/>
          <w:sz w:val="20"/>
          <w:szCs w:val="18"/>
        </w:rPr>
      </w:pPr>
    </w:p>
    <w:p w14:paraId="7CBF6E8B" w14:textId="0DEDD965" w:rsidR="00E464D9" w:rsidRDefault="00E464D9" w:rsidP="006E453B">
      <w:pPr>
        <w:spacing w:after="0" w:line="240" w:lineRule="auto"/>
        <w:ind w:left="426" w:hanging="283"/>
        <w:rPr>
          <w:rFonts w:ascii="Tenorite" w:hAnsi="Tenorite"/>
          <w:color w:val="C45911" w:themeColor="accent2" w:themeShade="BF"/>
          <w:sz w:val="20"/>
          <w:szCs w:val="18"/>
        </w:rPr>
      </w:pPr>
      <w:r w:rsidRPr="005F3EA3">
        <w:rPr>
          <w:rFonts w:ascii="Tenorite" w:hAnsi="Tenorite"/>
          <w:color w:val="C45911" w:themeColor="accent2" w:themeShade="BF"/>
          <w:sz w:val="20"/>
          <w:szCs w:val="18"/>
        </w:rPr>
        <w:t xml:space="preserve">Volailles </w:t>
      </w:r>
    </w:p>
    <w:p w14:paraId="3DC620FD" w14:textId="68E3C34E" w:rsidR="000249F5" w:rsidRDefault="000249F5" w:rsidP="006E453B">
      <w:pPr>
        <w:shd w:val="clear" w:color="auto" w:fill="FFFFFF"/>
        <w:spacing w:after="0" w:line="240" w:lineRule="auto"/>
        <w:ind w:left="143"/>
        <w:jc w:val="both"/>
        <w:rPr>
          <w:rFonts w:ascii="Tenorite" w:eastAsia="Times New Roman" w:hAnsi="Tenorite" w:cs="Times New Roman"/>
          <w:b/>
          <w:bCs/>
          <w:i/>
          <w:iCs/>
          <w:sz w:val="20"/>
          <w:szCs w:val="20"/>
          <w:lang w:eastAsia="fr-FR"/>
        </w:rPr>
      </w:pPr>
      <w:r w:rsidRPr="00E1364C">
        <w:rPr>
          <w:rFonts w:ascii="Tenorite" w:eastAsia="Times New Roman" w:hAnsi="Tenorite" w:cs="Times New Roman"/>
          <w:b/>
          <w:bCs/>
          <w:i/>
          <w:iCs/>
          <w:sz w:val="20"/>
          <w:szCs w:val="20"/>
          <w:lang w:eastAsia="fr-FR"/>
        </w:rPr>
        <w:t>Maladies</w:t>
      </w:r>
      <w:r>
        <w:rPr>
          <w:rFonts w:ascii="Tenorite" w:eastAsia="Times New Roman" w:hAnsi="Tenorite" w:cs="Times New Roman"/>
          <w:b/>
          <w:bCs/>
          <w:i/>
          <w:iCs/>
          <w:sz w:val="20"/>
          <w:szCs w:val="20"/>
          <w:lang w:eastAsia="fr-FR"/>
        </w:rPr>
        <w:t xml:space="preserve"> volailles</w:t>
      </w:r>
    </w:p>
    <w:p w14:paraId="72EBB6B1" w14:textId="77777777" w:rsidR="00610190" w:rsidRPr="00A46CD4" w:rsidRDefault="00610190" w:rsidP="006E453B">
      <w:pPr>
        <w:spacing w:after="0" w:line="240" w:lineRule="auto"/>
        <w:ind w:left="143"/>
        <w:jc w:val="both"/>
        <w:rPr>
          <w:rFonts w:ascii="Tenorite" w:eastAsia="Times New Roman" w:hAnsi="Tenorite" w:cs="Times New Roman"/>
          <w:color w:val="636363"/>
          <w:sz w:val="20"/>
          <w:szCs w:val="20"/>
          <w:lang w:eastAsia="fr-FR"/>
        </w:rPr>
      </w:pPr>
      <w:hyperlink r:id="rId44" w:history="1">
        <w:r w:rsidRPr="00A46CD4">
          <w:rPr>
            <w:rStyle w:val="Lienhypertexte"/>
            <w:rFonts w:ascii="Tenorite" w:eastAsia="Times New Roman" w:hAnsi="Tenorite" w:cs="Times New Roman"/>
            <w:sz w:val="20"/>
            <w:szCs w:val="20"/>
            <w:lang w:eastAsia="fr-FR"/>
          </w:rPr>
          <w:t>Décision</w:t>
        </w:r>
      </w:hyperlink>
      <w:r w:rsidRPr="00A46CD4">
        <w:rPr>
          <w:rFonts w:ascii="Tenorite" w:eastAsia="Times New Roman" w:hAnsi="Tenorite" w:cs="Times New Roman"/>
          <w:color w:val="636363"/>
          <w:sz w:val="20"/>
          <w:szCs w:val="20"/>
          <w:lang w:eastAsia="fr-FR"/>
        </w:rPr>
        <w:t xml:space="preserve"> d’exécution (UE) 2026/1091 de la Commission du 12 mai 2026 modifiant l’annexe de la décision d’exécution (UE) 2023/2447 concernant des mesures d’urgence motivées par l’apparition de foyers d’influenza aviaire hautement pathogène dans certains États membres (JOUE 18/05/2026)</w:t>
      </w:r>
    </w:p>
    <w:p w14:paraId="57CC97EA" w14:textId="77777777" w:rsidR="00610190" w:rsidRPr="00A46CD4" w:rsidRDefault="00610190" w:rsidP="006E453B">
      <w:pPr>
        <w:spacing w:after="0" w:line="240" w:lineRule="auto"/>
        <w:ind w:left="143"/>
        <w:jc w:val="both"/>
        <w:rPr>
          <w:rFonts w:ascii="Tenorite" w:eastAsia="Times New Roman" w:hAnsi="Tenorite" w:cs="Times New Roman"/>
          <w:color w:val="636363"/>
          <w:sz w:val="20"/>
          <w:szCs w:val="20"/>
          <w:lang w:eastAsia="fr-FR"/>
        </w:rPr>
      </w:pPr>
      <w:hyperlink r:id="rId45" w:history="1">
        <w:r w:rsidRPr="00A46CD4">
          <w:rPr>
            <w:rStyle w:val="Lienhypertexte"/>
            <w:rFonts w:ascii="Tenorite" w:eastAsia="Times New Roman" w:hAnsi="Tenorite" w:cs="Times New Roman"/>
            <w:sz w:val="20"/>
            <w:szCs w:val="20"/>
            <w:lang w:eastAsia="fr-FR"/>
          </w:rPr>
          <w:t>Décision</w:t>
        </w:r>
      </w:hyperlink>
      <w:r w:rsidRPr="00A46CD4">
        <w:rPr>
          <w:rFonts w:ascii="Tenorite" w:eastAsia="Times New Roman" w:hAnsi="Tenorite" w:cs="Times New Roman"/>
          <w:color w:val="636363"/>
          <w:sz w:val="20"/>
          <w:szCs w:val="20"/>
          <w:lang w:eastAsia="fr-FR"/>
        </w:rPr>
        <w:t xml:space="preserve"> d’exécution (UE) 2026/1186 de la Commission du 28 mai 2026 modifiant la décision d’exécution (UE) 2023/2447 concernant des mesures d’urgence motivées par l’apparition de foyers d’influenza aviaire hautement pathogène dans certains États membres (JOUE 29/05/2026)</w:t>
      </w:r>
    </w:p>
    <w:p w14:paraId="4746D280" w14:textId="77777777" w:rsidR="005671AA" w:rsidRPr="003C17FD" w:rsidRDefault="005671AA" w:rsidP="006E453B">
      <w:pPr>
        <w:shd w:val="clear" w:color="auto" w:fill="FFFFFF"/>
        <w:spacing w:after="0" w:line="240" w:lineRule="auto"/>
        <w:jc w:val="both"/>
        <w:rPr>
          <w:rFonts w:ascii="Tenorite" w:eastAsia="Times New Roman" w:hAnsi="Tenorite" w:cs="Times New Roman"/>
          <w:color w:val="636363"/>
          <w:sz w:val="20"/>
          <w:szCs w:val="20"/>
          <w:lang w:eastAsia="fr-FR"/>
        </w:rPr>
      </w:pPr>
    </w:p>
    <w:p w14:paraId="2F5DD886" w14:textId="77777777" w:rsidR="00BF1263" w:rsidRDefault="00BF1263" w:rsidP="006E453B">
      <w:pPr>
        <w:spacing w:after="0" w:line="240" w:lineRule="auto"/>
        <w:ind w:left="426" w:hanging="283"/>
        <w:rPr>
          <w:rFonts w:ascii="Tenorite" w:hAnsi="Tenorite"/>
          <w:color w:val="C45911" w:themeColor="accent2" w:themeShade="BF"/>
          <w:sz w:val="20"/>
          <w:szCs w:val="18"/>
        </w:rPr>
      </w:pPr>
      <w:r w:rsidRPr="005F3EA3">
        <w:rPr>
          <w:rFonts w:ascii="Tenorite" w:hAnsi="Tenorite"/>
          <w:color w:val="C45911" w:themeColor="accent2" w:themeShade="BF"/>
          <w:sz w:val="20"/>
          <w:szCs w:val="18"/>
        </w:rPr>
        <w:t>Porcins</w:t>
      </w:r>
    </w:p>
    <w:p w14:paraId="1074AFCE" w14:textId="7EFE4B2F" w:rsidR="000249F5" w:rsidRDefault="000249F5" w:rsidP="006E453B">
      <w:pPr>
        <w:shd w:val="clear" w:color="auto" w:fill="FFFFFF"/>
        <w:spacing w:after="0" w:line="240" w:lineRule="auto"/>
        <w:ind w:left="143"/>
        <w:jc w:val="both"/>
        <w:rPr>
          <w:rFonts w:ascii="Tenorite" w:eastAsia="Times New Roman" w:hAnsi="Tenorite" w:cs="Times New Roman"/>
          <w:b/>
          <w:bCs/>
          <w:i/>
          <w:iCs/>
          <w:sz w:val="20"/>
          <w:szCs w:val="20"/>
          <w:lang w:eastAsia="fr-FR"/>
        </w:rPr>
      </w:pPr>
      <w:proofErr w:type="gramStart"/>
      <w:r w:rsidRPr="00E1364C">
        <w:rPr>
          <w:rFonts w:ascii="Tenorite" w:eastAsia="Times New Roman" w:hAnsi="Tenorite" w:cs="Times New Roman"/>
          <w:b/>
          <w:bCs/>
          <w:i/>
          <w:iCs/>
          <w:sz w:val="20"/>
          <w:szCs w:val="20"/>
          <w:lang w:eastAsia="fr-FR"/>
        </w:rPr>
        <w:t>Maladies</w:t>
      </w:r>
      <w:r>
        <w:rPr>
          <w:rFonts w:ascii="Tenorite" w:eastAsia="Times New Roman" w:hAnsi="Tenorite" w:cs="Times New Roman"/>
          <w:b/>
          <w:bCs/>
          <w:i/>
          <w:iCs/>
          <w:sz w:val="20"/>
          <w:szCs w:val="20"/>
          <w:lang w:eastAsia="fr-FR"/>
        </w:rPr>
        <w:t xml:space="preserve"> porcins</w:t>
      </w:r>
      <w:proofErr w:type="gramEnd"/>
    </w:p>
    <w:p w14:paraId="2BEB96C6" w14:textId="77777777" w:rsidR="00610190" w:rsidRPr="00A46CD4" w:rsidRDefault="00610190" w:rsidP="006E453B">
      <w:pPr>
        <w:spacing w:after="0" w:line="240" w:lineRule="auto"/>
        <w:ind w:left="143"/>
        <w:jc w:val="both"/>
        <w:rPr>
          <w:rFonts w:ascii="Tenorite" w:eastAsia="Times New Roman" w:hAnsi="Tenorite" w:cs="Times New Roman"/>
          <w:color w:val="636363"/>
          <w:sz w:val="20"/>
          <w:szCs w:val="20"/>
          <w:lang w:eastAsia="fr-FR"/>
        </w:rPr>
      </w:pPr>
      <w:hyperlink r:id="rId46" w:history="1">
        <w:r w:rsidRPr="00A46CD4">
          <w:rPr>
            <w:rStyle w:val="Lienhypertexte"/>
            <w:rFonts w:ascii="Tenorite" w:eastAsia="Times New Roman" w:hAnsi="Tenorite" w:cs="Times New Roman"/>
            <w:sz w:val="20"/>
            <w:szCs w:val="20"/>
            <w:lang w:eastAsia="fr-FR"/>
          </w:rPr>
          <w:t>Règlement</w:t>
        </w:r>
      </w:hyperlink>
      <w:r w:rsidRPr="00A46CD4">
        <w:rPr>
          <w:rFonts w:ascii="Tenorite" w:eastAsia="Times New Roman" w:hAnsi="Tenorite" w:cs="Times New Roman"/>
          <w:color w:val="636363"/>
          <w:sz w:val="20"/>
          <w:szCs w:val="20"/>
          <w:lang w:eastAsia="fr-FR"/>
        </w:rPr>
        <w:t xml:space="preserve"> d’exécution (UE) 2026/1136 de la Commission du 20 mai 2026 modifiant l’annexe I du règlement d’exécution (UE) 2023/594 établissant des mesures spéciales de lutte contre la peste porcine africaine (JOUE 21/05/2026)</w:t>
      </w:r>
    </w:p>
    <w:p w14:paraId="080406B2" w14:textId="77777777" w:rsidR="00610190" w:rsidRDefault="00610190" w:rsidP="006E453B">
      <w:pPr>
        <w:spacing w:after="0" w:line="240" w:lineRule="auto"/>
        <w:ind w:left="143"/>
        <w:jc w:val="both"/>
        <w:rPr>
          <w:rFonts w:ascii="Tenorite" w:eastAsia="Times New Roman" w:hAnsi="Tenorite" w:cs="Times New Roman"/>
          <w:color w:val="636363"/>
          <w:sz w:val="20"/>
          <w:szCs w:val="20"/>
          <w:lang w:eastAsia="fr-FR"/>
        </w:rPr>
      </w:pPr>
    </w:p>
    <w:p w14:paraId="1D818932" w14:textId="77777777" w:rsidR="00610190" w:rsidRPr="00A46CD4" w:rsidRDefault="00610190" w:rsidP="006E453B">
      <w:pPr>
        <w:spacing w:after="0" w:line="240" w:lineRule="auto"/>
        <w:ind w:left="143"/>
        <w:jc w:val="both"/>
        <w:rPr>
          <w:rFonts w:ascii="Tenorite" w:eastAsia="Times New Roman" w:hAnsi="Tenorite" w:cs="Times New Roman"/>
          <w:color w:val="636363"/>
          <w:sz w:val="20"/>
          <w:szCs w:val="20"/>
          <w:lang w:eastAsia="fr-FR"/>
        </w:rPr>
      </w:pPr>
      <w:hyperlink r:id="rId47" w:history="1">
        <w:r w:rsidRPr="00A46CD4">
          <w:rPr>
            <w:rStyle w:val="Lienhypertexte"/>
            <w:rFonts w:ascii="Tenorite" w:eastAsia="Times New Roman" w:hAnsi="Tenorite" w:cs="Times New Roman"/>
            <w:sz w:val="20"/>
            <w:szCs w:val="20"/>
            <w:lang w:eastAsia="fr-FR"/>
          </w:rPr>
          <w:t>Règlement</w:t>
        </w:r>
      </w:hyperlink>
      <w:r w:rsidRPr="00A46CD4">
        <w:rPr>
          <w:rFonts w:ascii="Tenorite" w:eastAsia="Times New Roman" w:hAnsi="Tenorite" w:cs="Times New Roman"/>
          <w:color w:val="636363"/>
          <w:sz w:val="20"/>
          <w:szCs w:val="20"/>
          <w:lang w:eastAsia="fr-FR"/>
        </w:rPr>
        <w:t xml:space="preserve"> d’exécution (UE) 2026/1192 de la Commission du 28 mai 2026 modifiant l’annexe I du règlement d’exécution (UE) 2023/594 établissant des mesures spéciales de lutte contre la peste porcine africaine (JOUE 29/05/2026)</w:t>
      </w:r>
    </w:p>
    <w:p w14:paraId="399183E4" w14:textId="77777777" w:rsidR="002B2AC7" w:rsidRPr="003C17FD" w:rsidRDefault="002B2AC7" w:rsidP="002B2AC7">
      <w:pPr>
        <w:shd w:val="clear" w:color="auto" w:fill="FFFFFF"/>
        <w:spacing w:after="0" w:line="240" w:lineRule="auto"/>
        <w:jc w:val="both"/>
        <w:rPr>
          <w:rFonts w:ascii="Tenorite" w:hAnsi="Tenorite"/>
          <w:sz w:val="20"/>
          <w:szCs w:val="20"/>
        </w:rPr>
      </w:pPr>
    </w:p>
    <w:p w14:paraId="3C68D160" w14:textId="77777777" w:rsidR="000C0DEF" w:rsidRPr="005F3EA3" w:rsidRDefault="000C0DEF" w:rsidP="00D025D4">
      <w:pPr>
        <w:rPr>
          <w:rFonts w:ascii="Tenorite" w:hAnsi="Tenorite"/>
        </w:rPr>
      </w:pPr>
    </w:p>
    <w:sectPr w:rsidR="000C0DEF" w:rsidRPr="005F3EA3" w:rsidSect="006E453B">
      <w:headerReference w:type="even" r:id="rId48"/>
      <w:headerReference w:type="default" r:id="rId49"/>
      <w:footerReference w:type="default" r:id="rId50"/>
      <w:headerReference w:type="first" r:id="rId51"/>
      <w:pgSz w:w="11906" w:h="16838"/>
      <w:pgMar w:top="1417" w:right="282" w:bottom="993" w:left="426" w:header="284"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79F5" w14:textId="77777777" w:rsidR="000750E2" w:rsidRDefault="000750E2" w:rsidP="000C0DEF">
      <w:pPr>
        <w:spacing w:after="0" w:line="240" w:lineRule="auto"/>
      </w:pPr>
      <w:r>
        <w:separator/>
      </w:r>
    </w:p>
  </w:endnote>
  <w:endnote w:type="continuationSeparator" w:id="0">
    <w:p w14:paraId="778108F4" w14:textId="77777777" w:rsidR="000750E2" w:rsidRDefault="000750E2" w:rsidP="000C0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enorite">
    <w:charset w:val="00"/>
    <w:family w:val="auto"/>
    <w:pitch w:val="variable"/>
    <w:sig w:usb0="8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144275"/>
      <w:docPartObj>
        <w:docPartGallery w:val="Page Numbers (Bottom of Page)"/>
        <w:docPartUnique/>
      </w:docPartObj>
    </w:sdtPr>
    <w:sdtEndPr/>
    <w:sdtContent>
      <w:p w14:paraId="4E563226" w14:textId="463950AC" w:rsidR="000C0DEF" w:rsidRDefault="00D16526" w:rsidP="000C0DEF">
        <w:pPr>
          <w:pStyle w:val="Pieddepage"/>
          <w:ind w:right="141"/>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sur </w:t>
        </w:r>
        <w:r>
          <w:rPr>
            <w:b/>
            <w:bCs/>
          </w:rPr>
          <w:fldChar w:fldCharType="begin"/>
        </w:r>
        <w:r>
          <w:rPr>
            <w:b/>
            <w:bCs/>
          </w:rPr>
          <w:instrText>NUMPAGES  \* Arabic  \* MERGEFORMAT</w:instrText>
        </w:r>
        <w:r>
          <w:rPr>
            <w:b/>
            <w:bCs/>
          </w:rPr>
          <w:fldChar w:fldCharType="separate"/>
        </w:r>
        <w:r>
          <w:rPr>
            <w:b/>
            <w:bCs/>
          </w:rPr>
          <w:t>2</w:t>
        </w:r>
        <w:r>
          <w:rPr>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3CA6E" w14:textId="77777777" w:rsidR="000750E2" w:rsidRDefault="000750E2" w:rsidP="000C0DEF">
      <w:pPr>
        <w:spacing w:after="0" w:line="240" w:lineRule="auto"/>
      </w:pPr>
      <w:r>
        <w:separator/>
      </w:r>
    </w:p>
  </w:footnote>
  <w:footnote w:type="continuationSeparator" w:id="0">
    <w:p w14:paraId="6B4D771E" w14:textId="77777777" w:rsidR="000750E2" w:rsidRDefault="000750E2" w:rsidP="000C0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5FE77" w14:textId="77777777" w:rsidR="000C0DEF" w:rsidRDefault="000750E2">
    <w:pPr>
      <w:pStyle w:val="En-tte"/>
    </w:pPr>
    <w:r>
      <w:rPr>
        <w:noProof/>
        <w:lang w:eastAsia="fr-FR"/>
      </w:rPr>
      <w:pict w14:anchorId="78F4B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85983" o:spid="_x0000_s1032" type="#_x0000_t75" style="position:absolute;margin-left:0;margin-top:0;width:559.55pt;height:387.35pt;z-index:-251650048;mso-position-horizontal:center;mso-position-horizontal-relative:margin;mso-position-vertical:center;mso-position-vertical-relative:margin" o:allowincell="f">
          <v:imagedata r:id="rId1" o:title="filigramme sourire FI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77297" w14:textId="3B02763A" w:rsidR="000C0DEF" w:rsidRPr="000C0DEF" w:rsidRDefault="002A1BD6" w:rsidP="005F3EA3">
    <w:pPr>
      <w:pStyle w:val="En-tte"/>
    </w:pPr>
    <w:r>
      <w:rPr>
        <w:rFonts w:ascii="Trebuchet MS" w:hAnsi="Trebuchet MS" w:cs="Tahoma"/>
        <w:b/>
        <w:noProof/>
        <w:color w:val="EF671A"/>
        <w:sz w:val="28"/>
        <w:szCs w:val="28"/>
      </w:rPr>
      <mc:AlternateContent>
        <mc:Choice Requires="wps">
          <w:drawing>
            <wp:anchor distT="0" distB="0" distL="114300" distR="114300" simplePos="0" relativeHeight="251669504" behindDoc="0" locked="0" layoutInCell="1" allowOverlap="1" wp14:anchorId="512A100F" wp14:editId="7FDC219D">
              <wp:simplePos x="0" y="0"/>
              <wp:positionH relativeFrom="column">
                <wp:posOffset>1171575</wp:posOffset>
              </wp:positionH>
              <wp:positionV relativeFrom="paragraph">
                <wp:posOffset>8890</wp:posOffset>
              </wp:positionV>
              <wp:extent cx="5638800" cy="742950"/>
              <wp:effectExtent l="0" t="0" r="19050" b="19050"/>
              <wp:wrapNone/>
              <wp:docPr id="345504159" name="Zone de texte 2"/>
              <wp:cNvGraphicFramePr/>
              <a:graphic xmlns:a="http://schemas.openxmlformats.org/drawingml/2006/main">
                <a:graphicData uri="http://schemas.microsoft.com/office/word/2010/wordprocessingShape">
                  <wps:wsp>
                    <wps:cNvSpPr txBox="1"/>
                    <wps:spPr>
                      <a:xfrm>
                        <a:off x="0" y="0"/>
                        <a:ext cx="5638800" cy="742950"/>
                      </a:xfrm>
                      <a:prstGeom prst="rect">
                        <a:avLst/>
                      </a:prstGeom>
                      <a:solidFill>
                        <a:schemeClr val="lt1"/>
                      </a:solidFill>
                      <a:ln w="6350">
                        <a:solidFill>
                          <a:prstClr val="black"/>
                        </a:solidFill>
                      </a:ln>
                    </wps:spPr>
                    <wps:txbx>
                      <w:txbxContent>
                        <w:p w14:paraId="09C6BB13" w14:textId="77777777" w:rsidR="002A1BD6" w:rsidRPr="005F3EA3" w:rsidRDefault="002A1BD6" w:rsidP="002A1BD6">
                          <w:pPr>
                            <w:jc w:val="center"/>
                            <w:rPr>
                              <w:rFonts w:ascii="Tenorite" w:hAnsi="Tenorite" w:cs="Tahoma"/>
                              <w:b/>
                              <w:color w:val="EF671A"/>
                              <w:sz w:val="28"/>
                              <w:szCs w:val="28"/>
                            </w:rPr>
                          </w:pPr>
                          <w:r w:rsidRPr="005F3EA3">
                            <w:rPr>
                              <w:rFonts w:ascii="Tenorite" w:hAnsi="Tenorite" w:cs="Tahoma"/>
                              <w:b/>
                              <w:color w:val="EF671A"/>
                              <w:sz w:val="28"/>
                              <w:szCs w:val="28"/>
                            </w:rPr>
                            <w:t xml:space="preserve">BULLETIN DE VEILLE REGLEMENTAIRE PERSONNALISE POUR </w:t>
                          </w:r>
                          <w:r>
                            <w:rPr>
                              <w:rFonts w:ascii="Tenorite" w:hAnsi="Tenorite" w:cs="Tahoma"/>
                              <w:b/>
                              <w:color w:val="EF671A"/>
                              <w:sz w:val="28"/>
                              <w:szCs w:val="28"/>
                            </w:rPr>
                            <w:t>La FEB</w:t>
                          </w:r>
                        </w:p>
                        <w:p w14:paraId="28036E58" w14:textId="77777777" w:rsidR="002A1BD6" w:rsidRPr="005F3EA3" w:rsidRDefault="002A1BD6" w:rsidP="002A1BD6">
                          <w:pPr>
                            <w:jc w:val="center"/>
                            <w:rPr>
                              <w:rFonts w:ascii="Tenorite" w:hAnsi="Tenorite" w:cs="Tahoma"/>
                              <w:b/>
                              <w:color w:val="EF671A"/>
                              <w:sz w:val="28"/>
                              <w:szCs w:val="28"/>
                            </w:rPr>
                          </w:pPr>
                          <w:r w:rsidRPr="005F3EA3">
                            <w:rPr>
                              <w:rFonts w:ascii="Tenorite" w:hAnsi="Tenorite" w:cs="Tahoma"/>
                              <w:b/>
                              <w:color w:val="EF671A"/>
                              <w:sz w:val="28"/>
                              <w:szCs w:val="28"/>
                            </w:rPr>
                            <w:t>Bulletin n°</w:t>
                          </w:r>
                          <w:r>
                            <w:rPr>
                              <w:rFonts w:ascii="Tenorite" w:hAnsi="Tenorite" w:cs="Tahoma"/>
                              <w:b/>
                              <w:color w:val="EF671A"/>
                              <w:sz w:val="28"/>
                              <w:szCs w:val="28"/>
                            </w:rPr>
                            <w:t>5</w:t>
                          </w:r>
                          <w:r w:rsidRPr="005F3EA3">
                            <w:rPr>
                              <w:rFonts w:ascii="Tenorite" w:hAnsi="Tenorite" w:cs="Tahoma"/>
                              <w:b/>
                              <w:color w:val="EF671A"/>
                              <w:sz w:val="28"/>
                              <w:szCs w:val="28"/>
                            </w:rPr>
                            <w:t xml:space="preserve"> du 1er au </w:t>
                          </w:r>
                          <w:r>
                            <w:rPr>
                              <w:rFonts w:ascii="Tenorite" w:hAnsi="Tenorite" w:cs="Tahoma"/>
                              <w:b/>
                              <w:color w:val="EF671A"/>
                              <w:sz w:val="28"/>
                              <w:szCs w:val="28"/>
                            </w:rPr>
                            <w:t>30</w:t>
                          </w:r>
                          <w:r w:rsidRPr="005F3EA3">
                            <w:rPr>
                              <w:rFonts w:ascii="Tenorite" w:hAnsi="Tenorite" w:cs="Tahoma"/>
                              <w:b/>
                              <w:color w:val="EF671A"/>
                              <w:sz w:val="28"/>
                              <w:szCs w:val="28"/>
                            </w:rPr>
                            <w:t xml:space="preserve"> </w:t>
                          </w:r>
                          <w:r>
                            <w:rPr>
                              <w:rFonts w:ascii="Tenorite" w:hAnsi="Tenorite" w:cs="Tahoma"/>
                              <w:b/>
                              <w:color w:val="EF671A"/>
                              <w:sz w:val="28"/>
                              <w:szCs w:val="28"/>
                            </w:rPr>
                            <w:t>mai</w:t>
                          </w:r>
                          <w:r w:rsidRPr="005F3EA3">
                            <w:rPr>
                              <w:rFonts w:ascii="Tenorite" w:hAnsi="Tenorite" w:cs="Tahoma"/>
                              <w:b/>
                              <w:color w:val="EF671A"/>
                              <w:sz w:val="28"/>
                              <w:szCs w:val="28"/>
                            </w:rPr>
                            <w:t xml:space="preserve"> 202</w:t>
                          </w:r>
                          <w:r>
                            <w:rPr>
                              <w:rFonts w:ascii="Tenorite" w:hAnsi="Tenorite" w:cs="Tahoma"/>
                              <w:b/>
                              <w:color w:val="EF671A"/>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2A100F" id="_x0000_t202" coordsize="21600,21600" o:spt="202" path="m,l,21600r21600,l21600,xe">
              <v:stroke joinstyle="miter"/>
              <v:path gradientshapeok="t" o:connecttype="rect"/>
            </v:shapetype>
            <v:shape id="Zone de texte 2" o:spid="_x0000_s1026" type="#_x0000_t202" style="position:absolute;margin-left:92.25pt;margin-top:.7pt;width:444pt;height:58.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" fillcolor="white [3201]" strokeweight=".5pt">
              <v:textbox>
                <w:txbxContent>
                  <w:p w14:paraId="09C6BB13" w14:textId="77777777" w:rsidR="002A1BD6" w:rsidRPr="005F3EA3" w:rsidRDefault="002A1BD6" w:rsidP="002A1BD6">
                    <w:pPr>
                      <w:jc w:val="center"/>
                      <w:rPr>
                        <w:rFonts w:ascii="Tenorite" w:hAnsi="Tenorite" w:cs="Tahoma"/>
                        <w:b/>
                        <w:color w:val="EF671A"/>
                        <w:sz w:val="28"/>
                        <w:szCs w:val="28"/>
                      </w:rPr>
                    </w:pPr>
                    <w:r w:rsidRPr="005F3EA3">
                      <w:rPr>
                        <w:rFonts w:ascii="Tenorite" w:hAnsi="Tenorite" w:cs="Tahoma"/>
                        <w:b/>
                        <w:color w:val="EF671A"/>
                        <w:sz w:val="28"/>
                        <w:szCs w:val="28"/>
                      </w:rPr>
                      <w:t xml:space="preserve">BULLETIN DE VEILLE REGLEMENTAIRE PERSONNALISE POUR </w:t>
                    </w:r>
                    <w:r>
                      <w:rPr>
                        <w:rFonts w:ascii="Tenorite" w:hAnsi="Tenorite" w:cs="Tahoma"/>
                        <w:b/>
                        <w:color w:val="EF671A"/>
                        <w:sz w:val="28"/>
                        <w:szCs w:val="28"/>
                      </w:rPr>
                      <w:t>La FEB</w:t>
                    </w:r>
                  </w:p>
                  <w:p w14:paraId="28036E58" w14:textId="77777777" w:rsidR="002A1BD6" w:rsidRPr="005F3EA3" w:rsidRDefault="002A1BD6" w:rsidP="002A1BD6">
                    <w:pPr>
                      <w:jc w:val="center"/>
                      <w:rPr>
                        <w:rFonts w:ascii="Tenorite" w:hAnsi="Tenorite" w:cs="Tahoma"/>
                        <w:b/>
                        <w:color w:val="EF671A"/>
                        <w:sz w:val="28"/>
                        <w:szCs w:val="28"/>
                      </w:rPr>
                    </w:pPr>
                    <w:r w:rsidRPr="005F3EA3">
                      <w:rPr>
                        <w:rFonts w:ascii="Tenorite" w:hAnsi="Tenorite" w:cs="Tahoma"/>
                        <w:b/>
                        <w:color w:val="EF671A"/>
                        <w:sz w:val="28"/>
                        <w:szCs w:val="28"/>
                      </w:rPr>
                      <w:t>Bulletin n°</w:t>
                    </w:r>
                    <w:r>
                      <w:rPr>
                        <w:rFonts w:ascii="Tenorite" w:hAnsi="Tenorite" w:cs="Tahoma"/>
                        <w:b/>
                        <w:color w:val="EF671A"/>
                        <w:sz w:val="28"/>
                        <w:szCs w:val="28"/>
                      </w:rPr>
                      <w:t>5</w:t>
                    </w:r>
                    <w:r w:rsidRPr="005F3EA3">
                      <w:rPr>
                        <w:rFonts w:ascii="Tenorite" w:hAnsi="Tenorite" w:cs="Tahoma"/>
                        <w:b/>
                        <w:color w:val="EF671A"/>
                        <w:sz w:val="28"/>
                        <w:szCs w:val="28"/>
                      </w:rPr>
                      <w:t xml:space="preserve"> du 1er au </w:t>
                    </w:r>
                    <w:r>
                      <w:rPr>
                        <w:rFonts w:ascii="Tenorite" w:hAnsi="Tenorite" w:cs="Tahoma"/>
                        <w:b/>
                        <w:color w:val="EF671A"/>
                        <w:sz w:val="28"/>
                        <w:szCs w:val="28"/>
                      </w:rPr>
                      <w:t>30</w:t>
                    </w:r>
                    <w:r w:rsidRPr="005F3EA3">
                      <w:rPr>
                        <w:rFonts w:ascii="Tenorite" w:hAnsi="Tenorite" w:cs="Tahoma"/>
                        <w:b/>
                        <w:color w:val="EF671A"/>
                        <w:sz w:val="28"/>
                        <w:szCs w:val="28"/>
                      </w:rPr>
                      <w:t xml:space="preserve"> </w:t>
                    </w:r>
                    <w:r>
                      <w:rPr>
                        <w:rFonts w:ascii="Tenorite" w:hAnsi="Tenorite" w:cs="Tahoma"/>
                        <w:b/>
                        <w:color w:val="EF671A"/>
                        <w:sz w:val="28"/>
                        <w:szCs w:val="28"/>
                      </w:rPr>
                      <w:t>mai</w:t>
                    </w:r>
                    <w:r w:rsidRPr="005F3EA3">
                      <w:rPr>
                        <w:rFonts w:ascii="Tenorite" w:hAnsi="Tenorite" w:cs="Tahoma"/>
                        <w:b/>
                        <w:color w:val="EF671A"/>
                        <w:sz w:val="28"/>
                        <w:szCs w:val="28"/>
                      </w:rPr>
                      <w:t xml:space="preserve"> 202</w:t>
                    </w:r>
                    <w:r>
                      <w:rPr>
                        <w:rFonts w:ascii="Tenorite" w:hAnsi="Tenorite" w:cs="Tahoma"/>
                        <w:b/>
                        <w:color w:val="EF671A"/>
                        <w:sz w:val="28"/>
                        <w:szCs w:val="28"/>
                      </w:rPr>
                      <w:t>6</w:t>
                    </w:r>
                  </w:p>
                </w:txbxContent>
              </v:textbox>
            </v:shape>
          </w:pict>
        </mc:Fallback>
      </mc:AlternateContent>
    </w:r>
    <w:r w:rsidR="000750E2">
      <w:rPr>
        <w:noProof/>
        <w:lang w:eastAsia="fr-FR"/>
      </w:rPr>
      <w:pict w14:anchorId="5E80F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85984" o:spid="_x0000_s1033" type="#_x0000_t75" style="position:absolute;margin-left:0;margin-top:0;width:559.55pt;height:387.35pt;z-index:-251649024;mso-position-horizontal:center;mso-position-horizontal-relative:margin;mso-position-vertical:center;mso-position-vertical-relative:margin" o:allowincell="f">
          <v:imagedata r:id="rId1" o:title="filigramme sourire FIP"/>
          <w10:wrap anchorx="margin" anchory="margin"/>
        </v:shape>
      </w:pict>
    </w:r>
    <w:r>
      <w:rPr>
        <w:noProof/>
      </w:rPr>
      <w:drawing>
        <wp:inline distT="0" distB="0" distL="0" distR="0" wp14:anchorId="4956EFE9" wp14:editId="70E76AB4">
          <wp:extent cx="518160" cy="632460"/>
          <wp:effectExtent l="0" t="0" r="0" b="0"/>
          <wp:docPr id="143552357" name="Image 1"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2357" name="Image 1" descr="Une image contenant texte, Police, Graphique, logo&#10;&#10;Description générée automatiquement"/>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518160" cy="6324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6AD3F" w14:textId="77777777" w:rsidR="000C0DEF" w:rsidRDefault="000750E2">
    <w:pPr>
      <w:pStyle w:val="En-tte"/>
    </w:pPr>
    <w:r>
      <w:rPr>
        <w:noProof/>
        <w:lang w:eastAsia="fr-FR"/>
      </w:rPr>
      <w:pict w14:anchorId="0C674F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85982" o:spid="_x0000_s1031" type="#_x0000_t75" style="position:absolute;margin-left:0;margin-top:0;width:559.55pt;height:387.35pt;z-index:-251651072;mso-position-horizontal:center;mso-position-horizontal-relative:margin;mso-position-vertical:center;mso-position-vertical-relative:margin" o:allowincell="f">
          <v:imagedata r:id="rId1" o:title="filigramme sourire FIP"/>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DEF"/>
    <w:rsid w:val="000249F5"/>
    <w:rsid w:val="000750E2"/>
    <w:rsid w:val="000C0DEF"/>
    <w:rsid w:val="0012180A"/>
    <w:rsid w:val="00146AB8"/>
    <w:rsid w:val="001B42BB"/>
    <w:rsid w:val="00235C28"/>
    <w:rsid w:val="00236838"/>
    <w:rsid w:val="002545C5"/>
    <w:rsid w:val="002A1BD6"/>
    <w:rsid w:val="002B2AC7"/>
    <w:rsid w:val="002B7CB6"/>
    <w:rsid w:val="002D342B"/>
    <w:rsid w:val="002F17D1"/>
    <w:rsid w:val="00336CD1"/>
    <w:rsid w:val="0041668A"/>
    <w:rsid w:val="00454D3B"/>
    <w:rsid w:val="00530676"/>
    <w:rsid w:val="005671AA"/>
    <w:rsid w:val="005F3499"/>
    <w:rsid w:val="005F3EA3"/>
    <w:rsid w:val="005F79C3"/>
    <w:rsid w:val="00610190"/>
    <w:rsid w:val="006904E8"/>
    <w:rsid w:val="006E453B"/>
    <w:rsid w:val="00767DBA"/>
    <w:rsid w:val="00785585"/>
    <w:rsid w:val="007A1A3F"/>
    <w:rsid w:val="007C3E1C"/>
    <w:rsid w:val="00802621"/>
    <w:rsid w:val="008053C8"/>
    <w:rsid w:val="008B7919"/>
    <w:rsid w:val="00901715"/>
    <w:rsid w:val="00920D87"/>
    <w:rsid w:val="00930E35"/>
    <w:rsid w:val="00980424"/>
    <w:rsid w:val="009B0204"/>
    <w:rsid w:val="00AD542F"/>
    <w:rsid w:val="00B45859"/>
    <w:rsid w:val="00BF1263"/>
    <w:rsid w:val="00BF7342"/>
    <w:rsid w:val="00C04182"/>
    <w:rsid w:val="00C2622D"/>
    <w:rsid w:val="00C4598C"/>
    <w:rsid w:val="00CE16A2"/>
    <w:rsid w:val="00D025D4"/>
    <w:rsid w:val="00D16526"/>
    <w:rsid w:val="00D85643"/>
    <w:rsid w:val="00E464D9"/>
    <w:rsid w:val="00FB67EF"/>
    <w:rsid w:val="00FD77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EED49"/>
  <w15:chartTrackingRefBased/>
  <w15:docId w15:val="{2ED18064-B024-4767-9D3D-DD0107E5B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C0D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link w:val="Titre3Car"/>
    <w:uiPriority w:val="9"/>
    <w:unhideWhenUsed/>
    <w:qFormat/>
    <w:rsid w:val="000C0DE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C0DEF"/>
    <w:pPr>
      <w:tabs>
        <w:tab w:val="center" w:pos="4536"/>
        <w:tab w:val="right" w:pos="9072"/>
      </w:tabs>
      <w:spacing w:after="0" w:line="240" w:lineRule="auto"/>
    </w:pPr>
  </w:style>
  <w:style w:type="character" w:customStyle="1" w:styleId="En-tteCar">
    <w:name w:val="En-tête Car"/>
    <w:basedOn w:val="Policepardfaut"/>
    <w:link w:val="En-tte"/>
    <w:uiPriority w:val="99"/>
    <w:rsid w:val="000C0DEF"/>
  </w:style>
  <w:style w:type="paragraph" w:styleId="Pieddepage">
    <w:name w:val="footer"/>
    <w:basedOn w:val="Normal"/>
    <w:link w:val="PieddepageCar"/>
    <w:uiPriority w:val="99"/>
    <w:unhideWhenUsed/>
    <w:rsid w:val="000C0D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0DEF"/>
  </w:style>
  <w:style w:type="character" w:customStyle="1" w:styleId="Titre3Car">
    <w:name w:val="Titre 3 Car"/>
    <w:basedOn w:val="Policepardfaut"/>
    <w:link w:val="Titre3"/>
    <w:uiPriority w:val="9"/>
    <w:rsid w:val="000C0DEF"/>
    <w:rPr>
      <w:rFonts w:ascii="Times New Roman" w:eastAsia="Times New Roman" w:hAnsi="Times New Roman" w:cs="Times New Roman"/>
      <w:b/>
      <w:bCs/>
      <w:sz w:val="27"/>
      <w:szCs w:val="27"/>
      <w:lang w:eastAsia="fr-FR"/>
    </w:rPr>
  </w:style>
  <w:style w:type="character" w:customStyle="1" w:styleId="Titre1Car">
    <w:name w:val="Titre 1 Car"/>
    <w:basedOn w:val="Policepardfaut"/>
    <w:link w:val="Titre1"/>
    <w:uiPriority w:val="9"/>
    <w:rsid w:val="000C0DEF"/>
    <w:rPr>
      <w:rFonts w:asciiTheme="majorHAnsi" w:eastAsiaTheme="majorEastAsia" w:hAnsiTheme="majorHAnsi" w:cstheme="majorBidi"/>
      <w:color w:val="2E74B5" w:themeColor="accent1" w:themeShade="BF"/>
      <w:sz w:val="32"/>
      <w:szCs w:val="32"/>
    </w:rPr>
  </w:style>
  <w:style w:type="character" w:styleId="Lienhypertexte">
    <w:name w:val="Hyperlink"/>
    <w:unhideWhenUsed/>
    <w:rsid w:val="00454D3B"/>
    <w:rPr>
      <w:strike w:val="0"/>
      <w:dstrike w:val="0"/>
      <w:color w:val="0000FF"/>
      <w:u w:val="none"/>
      <w:effect w:val="none"/>
    </w:rPr>
  </w:style>
  <w:style w:type="paragraph" w:styleId="Textebrut">
    <w:name w:val="Plain Text"/>
    <w:basedOn w:val="Normal"/>
    <w:link w:val="TextebrutCar"/>
    <w:uiPriority w:val="99"/>
    <w:unhideWhenUsed/>
    <w:rsid w:val="00454D3B"/>
    <w:pPr>
      <w:spacing w:after="0" w:line="240" w:lineRule="auto"/>
    </w:pPr>
    <w:rPr>
      <w:rFonts w:ascii="Calibri" w:hAnsi="Calibri"/>
      <w:szCs w:val="21"/>
    </w:rPr>
  </w:style>
  <w:style w:type="character" w:customStyle="1" w:styleId="TextebrutCar">
    <w:name w:val="Texte brut Car"/>
    <w:basedOn w:val="Policepardfaut"/>
    <w:link w:val="Textebrut"/>
    <w:uiPriority w:val="99"/>
    <w:rsid w:val="00454D3B"/>
    <w:rPr>
      <w:rFonts w:ascii="Calibri" w:hAnsi="Calibri"/>
      <w:szCs w:val="21"/>
    </w:rPr>
  </w:style>
  <w:style w:type="character" w:styleId="Lienhypertextesuivivisit">
    <w:name w:val="FollowedHyperlink"/>
    <w:basedOn w:val="Policepardfaut"/>
    <w:uiPriority w:val="99"/>
    <w:semiHidden/>
    <w:unhideWhenUsed/>
    <w:rsid w:val="00454D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FR/TXT/PDF/?uri=OJ:L_202601165" TargetMode="External"/><Relationship Id="rId18" Type="http://schemas.openxmlformats.org/officeDocument/2006/relationships/hyperlink" Target="https://eur-lex.europa.eu/legal-content/FR/TXT/PDF/?uri=OJ:L_202601128" TargetMode="External"/><Relationship Id="rId26" Type="http://schemas.openxmlformats.org/officeDocument/2006/relationships/hyperlink" Target="https://www.plateforme-sca.fr/page/le-dernier-busca" TargetMode="External"/><Relationship Id="rId39" Type="http://schemas.openxmlformats.org/officeDocument/2006/relationships/hyperlink" Target="https://eur-lex.europa.eu/legal-content/FR/TXT/PDF/?uri=OJ:L_202601145" TargetMode="External"/><Relationship Id="rId21" Type="http://schemas.openxmlformats.org/officeDocument/2006/relationships/hyperlink" Target="https://eur-lex.europa.eu/legal-content/FR/TXT/PDF/?uri=OJ:L_202601123" TargetMode="External"/><Relationship Id="rId34" Type="http://schemas.openxmlformats.org/officeDocument/2006/relationships/hyperlink" Target="https://eur-lex.europa.eu/legal-content/FR/TXT/PDF/?uri=OJ:C_202602639" TargetMode="External"/><Relationship Id="rId42" Type="http://schemas.openxmlformats.org/officeDocument/2006/relationships/hyperlink" Target="https://eur-lex.europa.eu/legal-content/FR/TXT/PDF/?uri=OJ:L_202601038" TargetMode="External"/><Relationship Id="rId47" Type="http://schemas.openxmlformats.org/officeDocument/2006/relationships/hyperlink" Target="https://eur-lex.europa.eu/legal-content/FR/TXT/PDF/?uri=OJ:L_202601192" TargetMode="External"/><Relationship Id="rId50" Type="http://schemas.openxmlformats.org/officeDocument/2006/relationships/footer" Target="footer1.xml"/><Relationship Id="rId7" Type="http://schemas.openxmlformats.org/officeDocument/2006/relationships/hyperlink" Target="https://info.agriculture.gouv.fr/boagri/instruction-2026-261" TargetMode="External"/><Relationship Id="rId2" Type="http://schemas.openxmlformats.org/officeDocument/2006/relationships/styles" Target="styles.xml"/><Relationship Id="rId16" Type="http://schemas.openxmlformats.org/officeDocument/2006/relationships/hyperlink" Target="https://eur-lex.europa.eu/legal-content/FR/TXT/PDF/?uri=OJ:L_202601111" TargetMode="External"/><Relationship Id="rId29" Type="http://schemas.openxmlformats.org/officeDocument/2006/relationships/hyperlink" Target="https://www.anses.fr/system/files/EAUX-2023-SA-0002-RA.pdf" TargetMode="External"/><Relationship Id="rId11" Type="http://schemas.openxmlformats.org/officeDocument/2006/relationships/hyperlink" Target="https://info.agriculture.gouv.fr/boagri/instruction-2026-287" TargetMode="External"/><Relationship Id="rId24" Type="http://schemas.openxmlformats.org/officeDocument/2006/relationships/hyperlink" Target="https://eur-lex.europa.eu/legal-content/FR/TXT/PDF/?uri=OJ:L_202601159" TargetMode="External"/><Relationship Id="rId32" Type="http://schemas.openxmlformats.org/officeDocument/2006/relationships/hyperlink" Target="https://info.agriculture.gouv.fr/boagri/document_administratif-934077e4-3bbd-4cf3-a433-c3467d5f58dc" TargetMode="External"/><Relationship Id="rId37" Type="http://schemas.openxmlformats.org/officeDocument/2006/relationships/hyperlink" Target="https://www.legifrance.gouv.fr/jorf/id/JORFTEXT000054022177" TargetMode="External"/><Relationship Id="rId40" Type="http://schemas.openxmlformats.org/officeDocument/2006/relationships/hyperlink" Target="https://info.agriculture.gouv.fr/boagri/document_administratif-9dec66fd-6b5c-47df-8aef-d0ca7b9ca869" TargetMode="External"/><Relationship Id="rId45" Type="http://schemas.openxmlformats.org/officeDocument/2006/relationships/hyperlink" Target="https://eur-lex.europa.eu/legal-content/FR/TXT/PDF/?uri=OJ:L_202601186"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info.agriculture.gouv.fr/boagri/instruction-2026-280" TargetMode="External"/><Relationship Id="rId19" Type="http://schemas.openxmlformats.org/officeDocument/2006/relationships/hyperlink" Target="https://eur-lex.europa.eu/legal-content/FR/TXT/PDF/?uri=OJ:L_202601129" TargetMode="External"/><Relationship Id="rId31" Type="http://schemas.openxmlformats.org/officeDocument/2006/relationships/hyperlink" Target="https://www.legifrance.gouv.fr/jorf/id/JORFTEXT000054100908" TargetMode="External"/><Relationship Id="rId44" Type="http://schemas.openxmlformats.org/officeDocument/2006/relationships/hyperlink" Target="https://eur-lex.europa.eu/legal-content/FR/TXT/PDF/?uri=OJ:L_202601091"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nses.fr/system/files/REACH2025-REACh-0142.pdf" TargetMode="External"/><Relationship Id="rId14" Type="http://schemas.openxmlformats.org/officeDocument/2006/relationships/hyperlink" Target="https://eur-lex.europa.eu/legal-content/FR/TXT/PDF/?uri=OJ:L_202601103" TargetMode="External"/><Relationship Id="rId22" Type="http://schemas.openxmlformats.org/officeDocument/2006/relationships/hyperlink" Target="https://eur-lex.europa.eu/legal-content/FR/TXT/PDF/?uri=OJ:L_202601114" TargetMode="External"/><Relationship Id="rId27" Type="http://schemas.openxmlformats.org/officeDocument/2006/relationships/hyperlink" Target="https://www.legifrance.gouv.fr/jorf/id/JORFTEXT000054026689" TargetMode="External"/><Relationship Id="rId30" Type="http://schemas.openxmlformats.org/officeDocument/2006/relationships/hyperlink" Target="https://www.legifrance.gouv.fr/jorf/id/JORFTEXT000054122146" TargetMode="External"/><Relationship Id="rId35" Type="http://schemas.openxmlformats.org/officeDocument/2006/relationships/hyperlink" Target="https://eur-lex.europa.eu/legal-content/FR/TXT/PDF/?uri=OJ:C_202602773" TargetMode="External"/><Relationship Id="rId43" Type="http://schemas.openxmlformats.org/officeDocument/2006/relationships/hyperlink" Target="https://eur-lex.europa.eu/legal-content/FR/TXT/PDF/?uri=OJ:L_202601108" TargetMode="External"/><Relationship Id="rId48" Type="http://schemas.openxmlformats.org/officeDocument/2006/relationships/header" Target="header1.xml"/><Relationship Id="rId8" Type="http://schemas.openxmlformats.org/officeDocument/2006/relationships/hyperlink" Target="https://www.anses.fr/system/files/REACH2026-REACh-0022.pdf" TargetMode="External"/><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s://eur-lex.europa.eu/legal-content/FR/TXT/PDF/?uri=OJ:L_202601089" TargetMode="External"/><Relationship Id="rId17" Type="http://schemas.openxmlformats.org/officeDocument/2006/relationships/hyperlink" Target="https://eur-lex.europa.eu/legal-content/FR/TXT/PDF/?uri=OJ:L_202601112" TargetMode="External"/><Relationship Id="rId25" Type="http://schemas.openxmlformats.org/officeDocument/2006/relationships/hyperlink" Target="https://www.plateforme-sca.fr/page/le-dernier-busca?page=1" TargetMode="External"/><Relationship Id="rId33" Type="http://schemas.openxmlformats.org/officeDocument/2006/relationships/hyperlink" Target="https://eur-lex.europa.eu/legal-content/FR/TXT/PDF/?uri=OJ:C_202602638" TargetMode="External"/><Relationship Id="rId38" Type="http://schemas.openxmlformats.org/officeDocument/2006/relationships/hyperlink" Target="https://info.agriculture.gouv.fr/boagri/instruction-2026-265" TargetMode="External"/><Relationship Id="rId46" Type="http://schemas.openxmlformats.org/officeDocument/2006/relationships/hyperlink" Target="https://eur-lex.europa.eu/legal-content/FR/TXT/PDF/?uri=OJ:L_202601136" TargetMode="External"/><Relationship Id="rId20" Type="http://schemas.openxmlformats.org/officeDocument/2006/relationships/hyperlink" Target="https://eur-lex.europa.eu/legal-content/FR/TXT/PDF/?uri=OJ:L_202601120" TargetMode="External"/><Relationship Id="rId41" Type="http://schemas.openxmlformats.org/officeDocument/2006/relationships/hyperlink" Target="https://www.legifrance.gouv.fr/jorf/id/JORFTEXT000054153990"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eur-lex.europa.eu/legal-content/FR/TXT/PDF/?uri=OJ:L_202601109" TargetMode="External"/><Relationship Id="rId23" Type="http://schemas.openxmlformats.org/officeDocument/2006/relationships/hyperlink" Target="https://eur-lex.europa.eu/legal-content/FR/TXT/PDF/?uri=OJ:L_202601154" TargetMode="External"/><Relationship Id="rId28" Type="http://schemas.openxmlformats.org/officeDocument/2006/relationships/hyperlink" Target="https://eur-lex.europa.eu/legal-content/FR/TXT/PDF/?uri=OJ:L_202600429" TargetMode="External"/><Relationship Id="rId36" Type="http://schemas.openxmlformats.org/officeDocument/2006/relationships/hyperlink" Target="https://eur-lex.europa.eu/legal-content/FR/TXT/PDF/?uri=OJ:C_202602834" TargetMode="External"/><Relationship Id="rId4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F9048-52DE-4C9E-ACCF-03401F2D7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2274</Words>
  <Characters>12512</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levesque</dc:creator>
  <cp:keywords/>
  <dc:description/>
  <cp:lastModifiedBy>Denis GRIVET</cp:lastModifiedBy>
  <cp:revision>6</cp:revision>
  <dcterms:created xsi:type="dcterms:W3CDTF">2026-06-22T11:44:00Z</dcterms:created>
  <dcterms:modified xsi:type="dcterms:W3CDTF">2026-07-21T07:57:00Z</dcterms:modified>
</cp:coreProperties>
</file>